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2571" w14:textId="55790FCB"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71116B">
        <w:rPr>
          <w:lang w:val="en-US"/>
        </w:rPr>
        <w:t>31</w:t>
      </w:r>
      <w:r w:rsidR="00ED7D5B">
        <w:t>.</w:t>
      </w:r>
      <w:r w:rsidR="004A611C">
        <w:t>10</w:t>
      </w:r>
      <w:r>
        <w:t>.2024 г.</w:t>
      </w:r>
    </w:p>
    <w:p w14:paraId="092C12D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14:paraId="7ADC14E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19D3D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1E1436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9E3FE97" w14:textId="0CC6F41F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Жандосова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18604E" w:rsidRPr="0018604E">
        <w:rPr>
          <w:rFonts w:ascii="Times New Roman" w:eastAsia="Times New Roman" w:hAnsi="Times New Roman" w:cs="Times New Roman"/>
        </w:rPr>
        <w:t xml:space="preserve"> </w:t>
      </w:r>
      <w:r w:rsidR="0071116B" w:rsidRPr="0071116B">
        <w:rPr>
          <w:rFonts w:ascii="Times New Roman" w:eastAsia="Times New Roman" w:hAnsi="Times New Roman" w:cs="Times New Roman"/>
        </w:rPr>
        <w:t>31</w:t>
      </w:r>
      <w:r w:rsidR="004A611C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71116B" w:rsidRPr="0071116B">
        <w:rPr>
          <w:rFonts w:ascii="Times New Roman" w:eastAsia="Times New Roman" w:hAnsi="Times New Roman" w:cs="Times New Roman"/>
        </w:rPr>
        <w:t>07</w:t>
      </w:r>
      <w:r w:rsidR="0071116B">
        <w:rPr>
          <w:rFonts w:ascii="Times New Roman" w:eastAsia="Times New Roman" w:hAnsi="Times New Roman" w:cs="Times New Roman"/>
        </w:rPr>
        <w:t>.1</w:t>
      </w:r>
      <w:r w:rsidR="0071116B" w:rsidRPr="0071116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14:paraId="3AAAD2D4" w14:textId="30563EF1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71116B" w:rsidRPr="0071116B">
        <w:rPr>
          <w:rFonts w:ascii="Times New Roman" w:eastAsia="Times New Roman" w:hAnsi="Times New Roman" w:cs="Times New Roman"/>
        </w:rPr>
        <w:t>07</w:t>
      </w:r>
      <w:r w:rsidR="0071116B">
        <w:rPr>
          <w:rFonts w:ascii="Times New Roman" w:eastAsia="Times New Roman" w:hAnsi="Times New Roman" w:cs="Times New Roman"/>
        </w:rPr>
        <w:t>.1</w:t>
      </w:r>
      <w:r w:rsidR="0071116B" w:rsidRPr="0071116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66DF1D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8A3C0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2E4A0A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DB2598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53E086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7D4CBCE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99B71C2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4B67E3B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6B988F57" w14:textId="2DEE559C"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</w:t>
      </w:r>
      <w:r w:rsidR="0071116B">
        <w:rPr>
          <w:rFonts w:ascii="Times New Roman" w:hAnsi="Times New Roman" w:cs="Times New Roman"/>
          <w:b/>
          <w:lang w:val="en-US"/>
        </w:rPr>
        <w:t>31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4A611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г.</w:t>
      </w:r>
    </w:p>
    <w:p w14:paraId="56BFF9F6" w14:textId="77777777"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E527DD" w14:textId="77777777"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BE6853">
        <w:rPr>
          <w:rFonts w:ascii="Times New Roman" w:hAnsi="Times New Roman"/>
        </w:rPr>
        <w:t>4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14:paraId="7B37066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14:paraId="08FE65D5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14:paraId="229554F4" w14:textId="068B7E7C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Ценовые предложения потенциальных поставщиков, запечатанные в конверты, представляются по адресу: г. Алматы, Бостандыкский район, ул. Жандосова 6. 3 этаж, отдел государственных закупок, с 15 ч.00 мин</w:t>
      </w:r>
      <w:r w:rsidR="0071116B" w:rsidRPr="0071116B">
        <w:rPr>
          <w:rFonts w:ascii="Times New Roman" w:eastAsia="Times New Roman" w:hAnsi="Times New Roman" w:cs="Times New Roman"/>
        </w:rPr>
        <w:t xml:space="preserve"> 31</w:t>
      </w:r>
      <w:r w:rsidR="006D4387">
        <w:rPr>
          <w:rFonts w:ascii="Times New Roman" w:eastAsia="Times New Roman" w:hAnsi="Times New Roman" w:cs="Times New Roman"/>
        </w:rPr>
        <w:t>.</w:t>
      </w:r>
      <w:r w:rsidR="004A611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 г. до 09 ч. 00 мин</w:t>
      </w:r>
      <w:r w:rsidR="00E231A2">
        <w:rPr>
          <w:rFonts w:ascii="Times New Roman" w:eastAsia="Times New Roman" w:hAnsi="Times New Roman" w:cs="Times New Roman"/>
        </w:rPr>
        <w:t xml:space="preserve"> </w:t>
      </w:r>
      <w:r w:rsidR="0071116B" w:rsidRPr="0071116B">
        <w:rPr>
          <w:rFonts w:ascii="Times New Roman" w:eastAsia="Times New Roman" w:hAnsi="Times New Roman" w:cs="Times New Roman"/>
        </w:rPr>
        <w:t>07</w:t>
      </w:r>
      <w:r w:rsidR="0071116B">
        <w:rPr>
          <w:rFonts w:ascii="Times New Roman" w:eastAsia="Times New Roman" w:hAnsi="Times New Roman" w:cs="Times New Roman"/>
        </w:rPr>
        <w:t>.1</w:t>
      </w:r>
      <w:r w:rsidR="0071116B" w:rsidRPr="0071116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14:paraId="55E8CD6F" w14:textId="1282E3B3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71116B" w:rsidRPr="0071116B">
        <w:rPr>
          <w:rFonts w:ascii="Times New Roman" w:eastAsia="Times New Roman" w:hAnsi="Times New Roman" w:cs="Times New Roman"/>
        </w:rPr>
        <w:t>07</w:t>
      </w:r>
      <w:r w:rsidR="0071116B">
        <w:rPr>
          <w:rFonts w:ascii="Times New Roman" w:eastAsia="Times New Roman" w:hAnsi="Times New Roman" w:cs="Times New Roman"/>
        </w:rPr>
        <w:t>.1</w:t>
      </w:r>
      <w:r w:rsidR="0071116B" w:rsidRPr="0071116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 г. по адресу: г. Алматы, Бостандыкский район, Жандосова 6. 3 этаж, отдел государственных закупок.</w:t>
      </w:r>
    </w:p>
    <w:p w14:paraId="5F1E0F63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14:paraId="1F4130A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14:paraId="22F4D296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253F7C64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14:paraId="0F93CF23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14:paraId="347E3E2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6A22CF68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14:paraId="547BAAF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27599115" w14:textId="77777777"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21F8894" w14:textId="77777777"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7EC76736" w14:textId="77777777"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42CF6D77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14:paraId="2AA748F8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992"/>
        <w:gridCol w:w="851"/>
        <w:gridCol w:w="1842"/>
        <w:gridCol w:w="1985"/>
      </w:tblGrid>
      <w:tr w:rsidR="00AA3860" w:rsidRPr="003C7721" w14:paraId="0F11503A" w14:textId="77777777" w:rsidTr="0071116B">
        <w:trPr>
          <w:trHeight w:val="540"/>
        </w:trPr>
        <w:tc>
          <w:tcPr>
            <w:tcW w:w="568" w:type="dxa"/>
          </w:tcPr>
          <w:p w14:paraId="6EA72AA8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14:paraId="1E1C63B2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</w:tcPr>
          <w:p w14:paraId="42297676" w14:textId="77777777" w:rsidR="00AA3860" w:rsidRPr="00EE09E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09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14:paraId="4BB25BB1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Ед.изм.</w:t>
            </w:r>
          </w:p>
        </w:tc>
        <w:tc>
          <w:tcPr>
            <w:tcW w:w="851" w:type="dxa"/>
          </w:tcPr>
          <w:p w14:paraId="14747271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14:paraId="5257040F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1985" w:type="dxa"/>
          </w:tcPr>
          <w:p w14:paraId="6F439753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71116B" w:rsidRPr="003C7721" w14:paraId="339A460C" w14:textId="77777777" w:rsidTr="0071116B">
        <w:trPr>
          <w:trHeight w:val="510"/>
        </w:trPr>
        <w:tc>
          <w:tcPr>
            <w:tcW w:w="568" w:type="dxa"/>
          </w:tcPr>
          <w:p w14:paraId="7C2C04D5" w14:textId="52175E60" w:rsidR="0071116B" w:rsidRPr="00E134D1" w:rsidRDefault="007111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3FC26B58" w14:textId="35835F03" w:rsidR="0071116B" w:rsidRPr="00E134D1" w:rsidRDefault="0071116B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34D1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Эпинефрин</w:t>
            </w:r>
            <w:proofErr w:type="spellEnd"/>
          </w:p>
        </w:tc>
        <w:tc>
          <w:tcPr>
            <w:tcW w:w="2835" w:type="dxa"/>
            <w:vAlign w:val="center"/>
          </w:tcPr>
          <w:p w14:paraId="209CF480" w14:textId="0D42107C" w:rsidR="0071116B" w:rsidRPr="00E134D1" w:rsidRDefault="0071116B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4D1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инъекций, 0,18 %, 1 мл</w:t>
            </w:r>
          </w:p>
        </w:tc>
        <w:tc>
          <w:tcPr>
            <w:tcW w:w="992" w:type="dxa"/>
          </w:tcPr>
          <w:p w14:paraId="405C8AB2" w14:textId="15B7FC18" w:rsidR="0071116B" w:rsidRPr="00E134D1" w:rsidRDefault="0071116B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851" w:type="dxa"/>
            <w:noWrap/>
          </w:tcPr>
          <w:p w14:paraId="3941B158" w14:textId="3D3E089D" w:rsidR="0071116B" w:rsidRPr="00E134D1" w:rsidRDefault="0071116B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842" w:type="dxa"/>
          </w:tcPr>
          <w:p w14:paraId="283D5F47" w14:textId="23967FF1" w:rsidR="0071116B" w:rsidRPr="00E134D1" w:rsidRDefault="0071116B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89,02</w:t>
            </w:r>
          </w:p>
        </w:tc>
        <w:tc>
          <w:tcPr>
            <w:tcW w:w="1985" w:type="dxa"/>
          </w:tcPr>
          <w:p w14:paraId="557CE642" w14:textId="17065E9F" w:rsidR="0071116B" w:rsidRPr="00E134D1" w:rsidRDefault="0071116B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</w:t>
            </w:r>
            <w:r w:rsidR="00072087"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020,00</w:t>
            </w:r>
          </w:p>
        </w:tc>
      </w:tr>
      <w:tr w:rsidR="0071116B" w:rsidRPr="003C7721" w14:paraId="07CEAED2" w14:textId="77777777" w:rsidTr="0071116B">
        <w:trPr>
          <w:trHeight w:val="545"/>
        </w:trPr>
        <w:tc>
          <w:tcPr>
            <w:tcW w:w="568" w:type="dxa"/>
          </w:tcPr>
          <w:p w14:paraId="6F7F70F6" w14:textId="2CFCA6FA" w:rsidR="0071116B" w:rsidRPr="00E134D1" w:rsidRDefault="007111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71D9225" w14:textId="06274E8A" w:rsidR="0071116B" w:rsidRPr="00E134D1" w:rsidRDefault="0071116B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34D1">
              <w:rPr>
                <w:rFonts w:ascii="Times New Roman" w:hAnsi="Times New Roman" w:cs="Times New Roman"/>
                <w:sz w:val="18"/>
                <w:szCs w:val="18"/>
              </w:rPr>
              <w:t>Борте</w:t>
            </w:r>
            <w:r w:rsidRPr="00E134D1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зомиб</w:t>
            </w:r>
            <w:proofErr w:type="spellEnd"/>
          </w:p>
        </w:tc>
        <w:tc>
          <w:tcPr>
            <w:tcW w:w="2835" w:type="dxa"/>
            <w:vAlign w:val="center"/>
          </w:tcPr>
          <w:p w14:paraId="147C43D3" w14:textId="1CEA176D" w:rsidR="0071116B" w:rsidRPr="00E134D1" w:rsidRDefault="0071116B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34D1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Лиофилизат</w:t>
            </w:r>
            <w:proofErr w:type="spellEnd"/>
            <w:r w:rsidRPr="00E134D1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для приготовления раствора для внутривенного введения, 1 мг</w:t>
            </w:r>
          </w:p>
        </w:tc>
        <w:tc>
          <w:tcPr>
            <w:tcW w:w="992" w:type="dxa"/>
          </w:tcPr>
          <w:p w14:paraId="7E42B9D5" w14:textId="37AD9A2A" w:rsidR="0071116B" w:rsidRPr="00E134D1" w:rsidRDefault="0071116B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noWrap/>
          </w:tcPr>
          <w:p w14:paraId="60E02BD2" w14:textId="104F2E16" w:rsidR="0071116B" w:rsidRPr="00E134D1" w:rsidRDefault="0071116B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1842" w:type="dxa"/>
          </w:tcPr>
          <w:p w14:paraId="12FDF27B" w14:textId="38857D38" w:rsidR="0071116B" w:rsidRPr="00E134D1" w:rsidRDefault="0071116B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49900,00</w:t>
            </w:r>
          </w:p>
        </w:tc>
        <w:tc>
          <w:tcPr>
            <w:tcW w:w="1985" w:type="dxa"/>
          </w:tcPr>
          <w:p w14:paraId="334C0E55" w14:textId="694895E9" w:rsidR="0071116B" w:rsidRPr="00E134D1" w:rsidRDefault="0071116B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954A2"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596</w:t>
            </w:r>
            <w:r w:rsidR="007954A2"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800,00</w:t>
            </w:r>
          </w:p>
        </w:tc>
      </w:tr>
      <w:tr w:rsidR="0071116B" w:rsidRPr="003C7721" w14:paraId="6EC49F02" w14:textId="77777777" w:rsidTr="0071116B">
        <w:trPr>
          <w:trHeight w:val="545"/>
        </w:trPr>
        <w:tc>
          <w:tcPr>
            <w:tcW w:w="568" w:type="dxa"/>
          </w:tcPr>
          <w:p w14:paraId="36E1C67C" w14:textId="0B33FDB1" w:rsidR="0071116B" w:rsidRPr="00E134D1" w:rsidRDefault="007111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0E8847D6" w14:textId="5F6CF3F3" w:rsidR="0071116B" w:rsidRPr="00E134D1" w:rsidRDefault="0071116B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</w:rPr>
              <w:t xml:space="preserve">Электрод </w:t>
            </w:r>
            <w:proofErr w:type="gramStart"/>
            <w:r w:rsidRPr="00E134D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134D1">
              <w:rPr>
                <w:rFonts w:ascii="Times New Roman" w:hAnsi="Times New Roman" w:cs="Times New Roman"/>
                <w:sz w:val="18"/>
                <w:szCs w:val="18"/>
              </w:rPr>
              <w:t xml:space="preserve"> временной </w:t>
            </w:r>
            <w:proofErr w:type="spellStart"/>
            <w:r w:rsidRPr="00E134D1">
              <w:rPr>
                <w:rFonts w:ascii="Times New Roman" w:hAnsi="Times New Roman" w:cs="Times New Roman"/>
                <w:sz w:val="18"/>
                <w:szCs w:val="18"/>
              </w:rPr>
              <w:t>электрокардиостимуляции</w:t>
            </w:r>
            <w:proofErr w:type="spellEnd"/>
          </w:p>
        </w:tc>
        <w:tc>
          <w:tcPr>
            <w:tcW w:w="2835" w:type="dxa"/>
            <w:vAlign w:val="center"/>
          </w:tcPr>
          <w:p w14:paraId="675A783A" w14:textId="77777777" w:rsidR="007954A2" w:rsidRPr="007954A2" w:rsidRDefault="007954A2" w:rsidP="0079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Стерильная гибкая трубка с баллоном на конце, разработанная для доставки к сердцу временных задающих ритм импульсов; изделие может определять биоэлектрические сигналы сердца. Используется в области предсердия и/или желудочков и имеет электроды, которые обычно накладываются на желудочки и подключаются к внешнему электрокардиостимулятору, который генерирует электрические задающие ритм импульсы. Изделие может быть однополярным или биполярным и способствовать отображению электрокардиографических сигналов. Диаметр катетера не более 5 </w:t>
            </w:r>
            <w:proofErr w:type="spellStart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  <w:proofErr w:type="spellEnd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 Рабочая длина не менее 110 см. Количество полюсов – два. Материал полюса – </w:t>
            </w:r>
            <w:proofErr w:type="spellStart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>нерж</w:t>
            </w:r>
            <w:proofErr w:type="gramStart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>таль</w:t>
            </w:r>
            <w:proofErr w:type="spellEnd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Длина дистального полюса не менее 3 мм. Длина кольцевого полюса не менее 3 </w:t>
            </w:r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мм. Межполюсное расстояние (</w:t>
            </w:r>
            <w:proofErr w:type="spellStart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>спейсинг</w:t>
            </w:r>
            <w:proofErr w:type="spellEnd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не более 10 мм. Изгиб дистальной части – J-образный. Диаметр баллона не более 9 мм. Коннектор: 2х2 мм. </w:t>
            </w:r>
            <w:proofErr w:type="gramStart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7954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однократного применения.</w:t>
            </w:r>
          </w:p>
          <w:p w14:paraId="1D38867B" w14:textId="77777777" w:rsidR="0071116B" w:rsidRPr="00E134D1" w:rsidRDefault="0071116B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8BD6D5" w14:textId="778A41E1" w:rsidR="0071116B" w:rsidRPr="00E134D1" w:rsidRDefault="007954A2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34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</w:t>
            </w:r>
            <w:proofErr w:type="gramEnd"/>
            <w:r w:rsidRPr="00E134D1">
              <w:rPr>
                <w:rFonts w:ascii="Times New Roman" w:hAnsi="Times New Roman" w:cs="Times New Roman"/>
                <w:sz w:val="18"/>
                <w:szCs w:val="18"/>
              </w:rPr>
              <w:t>тука</w:t>
            </w:r>
          </w:p>
        </w:tc>
        <w:tc>
          <w:tcPr>
            <w:tcW w:w="851" w:type="dxa"/>
            <w:noWrap/>
          </w:tcPr>
          <w:p w14:paraId="3BBD5B0F" w14:textId="0E0E44D6" w:rsidR="0071116B" w:rsidRPr="00E134D1" w:rsidRDefault="007954A2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</w:tcPr>
          <w:p w14:paraId="6A5B1255" w14:textId="241E60FA" w:rsidR="0071116B" w:rsidRPr="00E134D1" w:rsidRDefault="007954A2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65555,00</w:t>
            </w:r>
          </w:p>
        </w:tc>
        <w:tc>
          <w:tcPr>
            <w:tcW w:w="1985" w:type="dxa"/>
          </w:tcPr>
          <w:p w14:paraId="42DB3673" w14:textId="12929482" w:rsidR="0071116B" w:rsidRPr="00E134D1" w:rsidRDefault="007954A2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196</w:t>
            </w:r>
            <w:r w:rsidR="00FB28B0"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134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665,00</w:t>
            </w:r>
          </w:p>
        </w:tc>
      </w:tr>
      <w:tr w:rsidR="0071116B" w:rsidRPr="003C7721" w14:paraId="539C19AF" w14:textId="77777777" w:rsidTr="0071116B">
        <w:trPr>
          <w:trHeight w:val="280"/>
        </w:trPr>
        <w:tc>
          <w:tcPr>
            <w:tcW w:w="568" w:type="dxa"/>
          </w:tcPr>
          <w:p w14:paraId="74CD7EDC" w14:textId="77777777" w:rsidR="0071116B" w:rsidRPr="003C7721" w:rsidRDefault="0071116B" w:rsidP="003B6D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88A88C" w14:textId="77777777" w:rsidR="0071116B" w:rsidRPr="00677784" w:rsidRDefault="0071116B" w:rsidP="003B6D4C">
            <w:pPr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677784"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2835" w:type="dxa"/>
          </w:tcPr>
          <w:p w14:paraId="37B6C89E" w14:textId="77777777" w:rsidR="0071116B" w:rsidRPr="003C7721" w:rsidRDefault="0071116B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3B335B" w14:textId="77777777" w:rsidR="0071116B" w:rsidRPr="003C7721" w:rsidRDefault="0071116B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2E21B8" w14:textId="77777777" w:rsidR="0071116B" w:rsidRPr="003C7721" w:rsidRDefault="0071116B" w:rsidP="003B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D06CD5" w14:textId="77777777" w:rsidR="0071116B" w:rsidRPr="003C7721" w:rsidRDefault="0071116B" w:rsidP="003B6D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EBEAD0" w14:textId="63C93E1A" w:rsidR="0071116B" w:rsidRPr="00ED7D5B" w:rsidRDefault="00E134D1" w:rsidP="0018604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1882485,00</w:t>
            </w:r>
            <w:bookmarkStart w:id="0" w:name="_GoBack"/>
            <w:bookmarkEnd w:id="0"/>
          </w:p>
        </w:tc>
      </w:tr>
    </w:tbl>
    <w:p w14:paraId="26922C9C" w14:textId="77777777"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0C634F0" w14:textId="77777777"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EE9B3FA" w14:textId="77777777"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14:paraId="46AA6106" w14:textId="77777777"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Адрес поставки: г. Алматы, ул. Жандосова 6, аптечный склад.</w:t>
      </w:r>
    </w:p>
    <w:p w14:paraId="11590FE7" w14:textId="77777777"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20C3D9E6" w14:textId="77777777"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064AF"/>
    <w:rsid w:val="00023BC5"/>
    <w:rsid w:val="00054105"/>
    <w:rsid w:val="00057F90"/>
    <w:rsid w:val="000703E5"/>
    <w:rsid w:val="00072087"/>
    <w:rsid w:val="000851E2"/>
    <w:rsid w:val="000865E4"/>
    <w:rsid w:val="00090BCE"/>
    <w:rsid w:val="000B503A"/>
    <w:rsid w:val="000C1B52"/>
    <w:rsid w:val="000C37F7"/>
    <w:rsid w:val="000C49D9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566FF"/>
    <w:rsid w:val="00156914"/>
    <w:rsid w:val="00161B32"/>
    <w:rsid w:val="00165540"/>
    <w:rsid w:val="001728A7"/>
    <w:rsid w:val="00181367"/>
    <w:rsid w:val="00182E8F"/>
    <w:rsid w:val="0018604E"/>
    <w:rsid w:val="00187592"/>
    <w:rsid w:val="001A6D82"/>
    <w:rsid w:val="001A79B0"/>
    <w:rsid w:val="001A7D23"/>
    <w:rsid w:val="001B032D"/>
    <w:rsid w:val="001B18A7"/>
    <w:rsid w:val="001B1E8B"/>
    <w:rsid w:val="001B5811"/>
    <w:rsid w:val="001B6F4D"/>
    <w:rsid w:val="001D75E7"/>
    <w:rsid w:val="001E3CF3"/>
    <w:rsid w:val="00200835"/>
    <w:rsid w:val="0020432D"/>
    <w:rsid w:val="0022082D"/>
    <w:rsid w:val="00220C37"/>
    <w:rsid w:val="00224D7B"/>
    <w:rsid w:val="00224E2D"/>
    <w:rsid w:val="002268FA"/>
    <w:rsid w:val="002322B9"/>
    <w:rsid w:val="002326C7"/>
    <w:rsid w:val="002335C5"/>
    <w:rsid w:val="00240D08"/>
    <w:rsid w:val="002547D9"/>
    <w:rsid w:val="00254E66"/>
    <w:rsid w:val="00267BF5"/>
    <w:rsid w:val="0027271C"/>
    <w:rsid w:val="00273ED9"/>
    <w:rsid w:val="00281CD2"/>
    <w:rsid w:val="002820C2"/>
    <w:rsid w:val="002849B2"/>
    <w:rsid w:val="00284D34"/>
    <w:rsid w:val="002857E9"/>
    <w:rsid w:val="00290D4B"/>
    <w:rsid w:val="002A0B09"/>
    <w:rsid w:val="002A451C"/>
    <w:rsid w:val="002A546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3067B5"/>
    <w:rsid w:val="00312845"/>
    <w:rsid w:val="00317653"/>
    <w:rsid w:val="00320C75"/>
    <w:rsid w:val="00324282"/>
    <w:rsid w:val="003425EB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3CC0"/>
    <w:rsid w:val="003B6EAA"/>
    <w:rsid w:val="003C1DD4"/>
    <w:rsid w:val="003C7721"/>
    <w:rsid w:val="003D1536"/>
    <w:rsid w:val="003E333A"/>
    <w:rsid w:val="003E5063"/>
    <w:rsid w:val="003F1DD4"/>
    <w:rsid w:val="00403FB9"/>
    <w:rsid w:val="00433D6F"/>
    <w:rsid w:val="00441BC6"/>
    <w:rsid w:val="004455C0"/>
    <w:rsid w:val="004477EA"/>
    <w:rsid w:val="00453614"/>
    <w:rsid w:val="004550F3"/>
    <w:rsid w:val="00457845"/>
    <w:rsid w:val="00457CA1"/>
    <w:rsid w:val="004621F4"/>
    <w:rsid w:val="004630C9"/>
    <w:rsid w:val="00465226"/>
    <w:rsid w:val="004653D2"/>
    <w:rsid w:val="00480F11"/>
    <w:rsid w:val="00485092"/>
    <w:rsid w:val="00486F48"/>
    <w:rsid w:val="00492190"/>
    <w:rsid w:val="00494326"/>
    <w:rsid w:val="004A1B24"/>
    <w:rsid w:val="004A24A1"/>
    <w:rsid w:val="004A4BD7"/>
    <w:rsid w:val="004A611C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55A2"/>
    <w:rsid w:val="00517481"/>
    <w:rsid w:val="00521908"/>
    <w:rsid w:val="00536EA6"/>
    <w:rsid w:val="00537218"/>
    <w:rsid w:val="0054117F"/>
    <w:rsid w:val="005435E1"/>
    <w:rsid w:val="00551E68"/>
    <w:rsid w:val="00556848"/>
    <w:rsid w:val="00564565"/>
    <w:rsid w:val="00565543"/>
    <w:rsid w:val="00567477"/>
    <w:rsid w:val="00571ABC"/>
    <w:rsid w:val="005736A0"/>
    <w:rsid w:val="00577D59"/>
    <w:rsid w:val="005848BB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77784"/>
    <w:rsid w:val="00680084"/>
    <w:rsid w:val="006810D8"/>
    <w:rsid w:val="0068443D"/>
    <w:rsid w:val="00686B1F"/>
    <w:rsid w:val="006871AA"/>
    <w:rsid w:val="006873E8"/>
    <w:rsid w:val="006917CE"/>
    <w:rsid w:val="00693424"/>
    <w:rsid w:val="00696EC6"/>
    <w:rsid w:val="006A1CEA"/>
    <w:rsid w:val="006A6D8E"/>
    <w:rsid w:val="006A7D73"/>
    <w:rsid w:val="006B64A2"/>
    <w:rsid w:val="006D4387"/>
    <w:rsid w:val="006F5EA3"/>
    <w:rsid w:val="006F6FCD"/>
    <w:rsid w:val="007018D2"/>
    <w:rsid w:val="00704B46"/>
    <w:rsid w:val="0071116B"/>
    <w:rsid w:val="007120A2"/>
    <w:rsid w:val="00714878"/>
    <w:rsid w:val="00722708"/>
    <w:rsid w:val="00730501"/>
    <w:rsid w:val="00730F53"/>
    <w:rsid w:val="00735B63"/>
    <w:rsid w:val="00737140"/>
    <w:rsid w:val="00747669"/>
    <w:rsid w:val="007476D0"/>
    <w:rsid w:val="00747F72"/>
    <w:rsid w:val="007555D6"/>
    <w:rsid w:val="00757517"/>
    <w:rsid w:val="00775930"/>
    <w:rsid w:val="0079411F"/>
    <w:rsid w:val="00794CEE"/>
    <w:rsid w:val="007954A2"/>
    <w:rsid w:val="00797FB3"/>
    <w:rsid w:val="007A1C5A"/>
    <w:rsid w:val="007B13A6"/>
    <w:rsid w:val="007B5961"/>
    <w:rsid w:val="007B62E2"/>
    <w:rsid w:val="007C0389"/>
    <w:rsid w:val="007C1627"/>
    <w:rsid w:val="007C76BA"/>
    <w:rsid w:val="007D0F43"/>
    <w:rsid w:val="007D1D03"/>
    <w:rsid w:val="007D320D"/>
    <w:rsid w:val="007D386D"/>
    <w:rsid w:val="007D3B9E"/>
    <w:rsid w:val="007D4ED6"/>
    <w:rsid w:val="007E3AFF"/>
    <w:rsid w:val="007F0559"/>
    <w:rsid w:val="007F4139"/>
    <w:rsid w:val="007F516B"/>
    <w:rsid w:val="007F6315"/>
    <w:rsid w:val="008005DF"/>
    <w:rsid w:val="00802F33"/>
    <w:rsid w:val="0081231A"/>
    <w:rsid w:val="00815186"/>
    <w:rsid w:val="008205A3"/>
    <w:rsid w:val="008257AF"/>
    <w:rsid w:val="008276E4"/>
    <w:rsid w:val="00834335"/>
    <w:rsid w:val="008402DF"/>
    <w:rsid w:val="00850555"/>
    <w:rsid w:val="0085265F"/>
    <w:rsid w:val="008551F8"/>
    <w:rsid w:val="00855BE1"/>
    <w:rsid w:val="0086059D"/>
    <w:rsid w:val="00862851"/>
    <w:rsid w:val="00864B2A"/>
    <w:rsid w:val="00867A12"/>
    <w:rsid w:val="008713CE"/>
    <w:rsid w:val="008723DD"/>
    <w:rsid w:val="00872E83"/>
    <w:rsid w:val="008735CD"/>
    <w:rsid w:val="00873D42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D11C7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27567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76C06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0EE7"/>
    <w:rsid w:val="009E17D8"/>
    <w:rsid w:val="009E501F"/>
    <w:rsid w:val="009E6145"/>
    <w:rsid w:val="009F19A9"/>
    <w:rsid w:val="009F2B38"/>
    <w:rsid w:val="009F2DFD"/>
    <w:rsid w:val="009F37FD"/>
    <w:rsid w:val="009F71AE"/>
    <w:rsid w:val="009F7840"/>
    <w:rsid w:val="00A03C7C"/>
    <w:rsid w:val="00A133AD"/>
    <w:rsid w:val="00A15318"/>
    <w:rsid w:val="00A20244"/>
    <w:rsid w:val="00A27A23"/>
    <w:rsid w:val="00A30B30"/>
    <w:rsid w:val="00A5525C"/>
    <w:rsid w:val="00A77D1F"/>
    <w:rsid w:val="00A77FF1"/>
    <w:rsid w:val="00A8001F"/>
    <w:rsid w:val="00A8028C"/>
    <w:rsid w:val="00A90EDF"/>
    <w:rsid w:val="00A944D1"/>
    <w:rsid w:val="00A95FC0"/>
    <w:rsid w:val="00A96066"/>
    <w:rsid w:val="00A96CAE"/>
    <w:rsid w:val="00AA3860"/>
    <w:rsid w:val="00AB1DBF"/>
    <w:rsid w:val="00AB5F5E"/>
    <w:rsid w:val="00AB6D35"/>
    <w:rsid w:val="00AB74AA"/>
    <w:rsid w:val="00AD54FF"/>
    <w:rsid w:val="00AD6B5B"/>
    <w:rsid w:val="00AE1841"/>
    <w:rsid w:val="00AE241C"/>
    <w:rsid w:val="00AE27C6"/>
    <w:rsid w:val="00AE2935"/>
    <w:rsid w:val="00AE540A"/>
    <w:rsid w:val="00AF0561"/>
    <w:rsid w:val="00AF0962"/>
    <w:rsid w:val="00AF1435"/>
    <w:rsid w:val="00AF3D1C"/>
    <w:rsid w:val="00AF4F78"/>
    <w:rsid w:val="00B01D59"/>
    <w:rsid w:val="00B070BD"/>
    <w:rsid w:val="00B11888"/>
    <w:rsid w:val="00B12E8E"/>
    <w:rsid w:val="00B26028"/>
    <w:rsid w:val="00B30CDA"/>
    <w:rsid w:val="00B322F4"/>
    <w:rsid w:val="00B406C5"/>
    <w:rsid w:val="00B42390"/>
    <w:rsid w:val="00B43598"/>
    <w:rsid w:val="00B51322"/>
    <w:rsid w:val="00B7705E"/>
    <w:rsid w:val="00B77804"/>
    <w:rsid w:val="00B81CE1"/>
    <w:rsid w:val="00B833E5"/>
    <w:rsid w:val="00B914B5"/>
    <w:rsid w:val="00B9322A"/>
    <w:rsid w:val="00B943C5"/>
    <w:rsid w:val="00B94EA7"/>
    <w:rsid w:val="00B978F3"/>
    <w:rsid w:val="00BA24E0"/>
    <w:rsid w:val="00BA2F0F"/>
    <w:rsid w:val="00BA48C6"/>
    <w:rsid w:val="00BB681D"/>
    <w:rsid w:val="00BC1823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2DF9"/>
    <w:rsid w:val="00C12EF8"/>
    <w:rsid w:val="00C14D1D"/>
    <w:rsid w:val="00C2766C"/>
    <w:rsid w:val="00C37ADA"/>
    <w:rsid w:val="00C43B0B"/>
    <w:rsid w:val="00C46D74"/>
    <w:rsid w:val="00C54212"/>
    <w:rsid w:val="00C61A08"/>
    <w:rsid w:val="00C63FC3"/>
    <w:rsid w:val="00C642DA"/>
    <w:rsid w:val="00C67B6C"/>
    <w:rsid w:val="00C70F20"/>
    <w:rsid w:val="00C7598C"/>
    <w:rsid w:val="00C8005C"/>
    <w:rsid w:val="00C8294D"/>
    <w:rsid w:val="00C9229D"/>
    <w:rsid w:val="00C93A62"/>
    <w:rsid w:val="00C9427C"/>
    <w:rsid w:val="00C96201"/>
    <w:rsid w:val="00CA0C39"/>
    <w:rsid w:val="00CA3B43"/>
    <w:rsid w:val="00CB6C69"/>
    <w:rsid w:val="00CC0D6D"/>
    <w:rsid w:val="00CC46AB"/>
    <w:rsid w:val="00CC4D12"/>
    <w:rsid w:val="00CC6290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A6AC1"/>
    <w:rsid w:val="00DE1EBF"/>
    <w:rsid w:val="00DE2C91"/>
    <w:rsid w:val="00DE7AA4"/>
    <w:rsid w:val="00DF41D8"/>
    <w:rsid w:val="00DF7EEE"/>
    <w:rsid w:val="00E03D6C"/>
    <w:rsid w:val="00E04642"/>
    <w:rsid w:val="00E103C1"/>
    <w:rsid w:val="00E11866"/>
    <w:rsid w:val="00E134D1"/>
    <w:rsid w:val="00E231A2"/>
    <w:rsid w:val="00E4273E"/>
    <w:rsid w:val="00E4399C"/>
    <w:rsid w:val="00E47BB4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B75F3"/>
    <w:rsid w:val="00EC0328"/>
    <w:rsid w:val="00EC4F72"/>
    <w:rsid w:val="00EC54DB"/>
    <w:rsid w:val="00ED372E"/>
    <w:rsid w:val="00ED5F97"/>
    <w:rsid w:val="00ED7D5B"/>
    <w:rsid w:val="00EE09E9"/>
    <w:rsid w:val="00EE3D67"/>
    <w:rsid w:val="00EE61F2"/>
    <w:rsid w:val="00EF414C"/>
    <w:rsid w:val="00EF71E6"/>
    <w:rsid w:val="00F01ECB"/>
    <w:rsid w:val="00F0209A"/>
    <w:rsid w:val="00F0718B"/>
    <w:rsid w:val="00F1792F"/>
    <w:rsid w:val="00F2423E"/>
    <w:rsid w:val="00F24CCD"/>
    <w:rsid w:val="00F2575F"/>
    <w:rsid w:val="00F258E9"/>
    <w:rsid w:val="00F2714D"/>
    <w:rsid w:val="00F52E36"/>
    <w:rsid w:val="00F56F83"/>
    <w:rsid w:val="00F57523"/>
    <w:rsid w:val="00F80AF7"/>
    <w:rsid w:val="00F85487"/>
    <w:rsid w:val="00F92197"/>
    <w:rsid w:val="00FA0F25"/>
    <w:rsid w:val="00FA1322"/>
    <w:rsid w:val="00FA169E"/>
    <w:rsid w:val="00FA54A9"/>
    <w:rsid w:val="00FB28B0"/>
    <w:rsid w:val="00FB63CC"/>
    <w:rsid w:val="00FB7A34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D8C6-EB68-4FE0-9592-8E9D8341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2024-04-17T07:24:00Z</cp:lastPrinted>
  <dcterms:created xsi:type="dcterms:W3CDTF">2024-10-31T07:12:00Z</dcterms:created>
  <dcterms:modified xsi:type="dcterms:W3CDTF">2024-10-31T07:12:00Z</dcterms:modified>
</cp:coreProperties>
</file>