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bookmarkStart w:id="0" w:name="_GoBack"/>
      <w:bookmarkEnd w:id="0"/>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BE6027">
        <w:rPr>
          <w:rFonts w:ascii="Times New Roman" w:hAnsi="Times New Roman" w:cs="Times New Roman"/>
          <w:b/>
          <w:color w:val="000000" w:themeColor="text1"/>
          <w:lang w:val="kk-KZ"/>
        </w:rPr>
        <w:t>0</w:t>
      </w:r>
      <w:r w:rsidR="00B82135">
        <w:rPr>
          <w:rFonts w:ascii="Times New Roman" w:hAnsi="Times New Roman" w:cs="Times New Roman"/>
          <w:b/>
          <w:color w:val="000000" w:themeColor="text1"/>
          <w:lang w:val="kk-KZ"/>
        </w:rPr>
        <w:t>3</w:t>
      </w:r>
      <w:r w:rsidRPr="001721DC">
        <w:rPr>
          <w:rFonts w:ascii="Times New Roman" w:hAnsi="Times New Roman" w:cs="Times New Roman"/>
          <w:b/>
          <w:color w:val="000000" w:themeColor="text1"/>
        </w:rPr>
        <w:t xml:space="preserve">» </w:t>
      </w:r>
      <w:r w:rsidR="00BE6027">
        <w:rPr>
          <w:rFonts w:ascii="Times New Roman" w:hAnsi="Times New Roman" w:cs="Times New Roman"/>
          <w:b/>
          <w:color w:val="000000" w:themeColor="text1"/>
          <w:lang w:val="kk-KZ"/>
        </w:rPr>
        <w:t>марта</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BE6027"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 xml:space="preserve">№ </w:t>
      </w:r>
      <w:r w:rsidR="00BE6027">
        <w:rPr>
          <w:rFonts w:ascii="Times New Roman" w:hAnsi="Times New Roman" w:cs="Times New Roman"/>
          <w:b/>
          <w:color w:val="000000" w:themeColor="text1"/>
          <w:lang w:val="kk-KZ"/>
        </w:rPr>
        <w:t>6</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BE6027">
        <w:rPr>
          <w:rFonts w:ascii="Times New Roman" w:hAnsi="Times New Roman" w:cs="Times New Roman"/>
          <w:b/>
          <w:color w:val="000000" w:themeColor="text1"/>
          <w:lang w:val="kk-KZ"/>
        </w:rPr>
        <w:t>0</w:t>
      </w:r>
      <w:r w:rsidR="00F34560">
        <w:rPr>
          <w:rFonts w:ascii="Times New Roman" w:hAnsi="Times New Roman" w:cs="Times New Roman"/>
          <w:b/>
          <w:color w:val="000000" w:themeColor="text1"/>
          <w:lang w:val="kk-KZ"/>
        </w:rPr>
        <w:t>3</w:t>
      </w:r>
      <w:r w:rsidR="00234BB4" w:rsidRPr="00696399">
        <w:rPr>
          <w:rFonts w:ascii="Times New Roman" w:hAnsi="Times New Roman" w:cs="Times New Roman"/>
          <w:b/>
          <w:color w:val="000000" w:themeColor="text1"/>
        </w:rPr>
        <w:t>.0</w:t>
      </w:r>
      <w:r w:rsidR="00BE6027">
        <w:rPr>
          <w:rFonts w:ascii="Times New Roman" w:hAnsi="Times New Roman" w:cs="Times New Roman"/>
          <w:b/>
          <w:color w:val="000000" w:themeColor="text1"/>
          <w:lang w:val="kk-KZ"/>
        </w:rPr>
        <w:t>3</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BE6027">
        <w:rPr>
          <w:rFonts w:ascii="Times New Roman" w:hAnsi="Times New Roman" w:cs="Times New Roman"/>
          <w:color w:val="000000" w:themeColor="text1"/>
          <w:lang w:val="kk-KZ"/>
        </w:rPr>
        <w:t>6</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F34560">
        <w:rPr>
          <w:rFonts w:ascii="Times New Roman" w:hAnsi="Times New Roman" w:cs="Times New Roman"/>
          <w:color w:val="000000" w:themeColor="text1"/>
          <w:lang w:val="kk-KZ"/>
        </w:rPr>
        <w:t>203 230 330</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F34560"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F34560">
        <w:rPr>
          <w:rFonts w:ascii="Times New Roman" w:hAnsi="Times New Roman" w:cs="Times New Roman"/>
          <w:color w:val="000000" w:themeColor="text1"/>
          <w:lang w:val="kk-KZ"/>
        </w:rPr>
        <w:t>31</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E6027">
        <w:rPr>
          <w:rFonts w:ascii="Times New Roman" w:hAnsi="Times New Roman" w:cs="Times New Roman"/>
          <w:color w:val="000000" w:themeColor="text1"/>
          <w:lang w:val="kk-KZ"/>
        </w:rPr>
        <w:t>0</w:t>
      </w:r>
      <w:r w:rsidR="00F34560">
        <w:rPr>
          <w:rFonts w:ascii="Times New Roman" w:hAnsi="Times New Roman" w:cs="Times New Roman"/>
          <w:color w:val="000000" w:themeColor="text1"/>
          <w:lang w:val="kk-KZ"/>
        </w:rPr>
        <w:t>3</w:t>
      </w:r>
      <w:r w:rsidRPr="00696399">
        <w:rPr>
          <w:rFonts w:ascii="Times New Roman" w:hAnsi="Times New Roman" w:cs="Times New Roman"/>
          <w:color w:val="000000" w:themeColor="text1"/>
        </w:rPr>
        <w:t xml:space="preserve">» </w:t>
      </w:r>
      <w:r w:rsidR="00BE6027">
        <w:rPr>
          <w:rFonts w:ascii="Times New Roman" w:hAnsi="Times New Roman" w:cs="Times New Roman"/>
          <w:color w:val="000000" w:themeColor="text1"/>
          <w:lang w:val="kk-KZ"/>
        </w:rPr>
        <w:t>марта</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2122BF">
        <w:rPr>
          <w:rFonts w:ascii="Times New Roman" w:hAnsi="Times New Roman" w:cs="Times New Roman"/>
          <w:color w:val="000000" w:themeColor="text1"/>
          <w:lang w:val="kk-KZ"/>
        </w:rPr>
        <w:t>2</w:t>
      </w:r>
      <w:r w:rsidR="00F34560">
        <w:rPr>
          <w:rFonts w:ascii="Times New Roman" w:hAnsi="Times New Roman" w:cs="Times New Roman"/>
          <w:color w:val="000000" w:themeColor="text1"/>
          <w:lang w:val="kk-KZ"/>
        </w:rPr>
        <w:t>8</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2122BF">
        <w:rPr>
          <w:rFonts w:ascii="Times New Roman" w:hAnsi="Times New Roman" w:cs="Times New Roman"/>
          <w:color w:val="000000" w:themeColor="text1"/>
          <w:lang w:val="kk-KZ"/>
        </w:rPr>
        <w:t>марта</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2122BF">
        <w:rPr>
          <w:rFonts w:ascii="Times New Roman" w:hAnsi="Times New Roman" w:cs="Times New Roman"/>
          <w:color w:val="000000" w:themeColor="text1"/>
          <w:lang w:val="kk-KZ"/>
        </w:rPr>
        <w:t>2</w:t>
      </w:r>
      <w:r w:rsidR="00F34560">
        <w:rPr>
          <w:rFonts w:ascii="Times New Roman" w:hAnsi="Times New Roman" w:cs="Times New Roman"/>
          <w:color w:val="000000" w:themeColor="text1"/>
          <w:lang w:val="kk-KZ"/>
        </w:rPr>
        <w:t>8</w:t>
      </w:r>
      <w:r w:rsidRPr="00696399">
        <w:rPr>
          <w:rFonts w:ascii="Times New Roman" w:hAnsi="Times New Roman" w:cs="Times New Roman"/>
          <w:color w:val="000000" w:themeColor="text1"/>
        </w:rPr>
        <w:t xml:space="preserve">» </w:t>
      </w:r>
      <w:r w:rsidR="002122BF">
        <w:rPr>
          <w:rFonts w:ascii="Times New Roman" w:hAnsi="Times New Roman" w:cs="Times New Roman"/>
          <w:color w:val="000000" w:themeColor="text1"/>
        </w:rPr>
        <w:t>марта</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течении</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Настоящая тендерная документация состоит из:</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ҚР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BE6027">
        <w:rPr>
          <w:rFonts w:ascii="Times New Roman" w:hAnsi="Times New Roman" w:cs="Times New Roman"/>
          <w:b/>
          <w:color w:val="000000" w:themeColor="text1"/>
          <w:lang w:val="kk-KZ"/>
        </w:rPr>
        <w:t>6</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2122BF">
        <w:rPr>
          <w:rFonts w:ascii="Times New Roman" w:hAnsi="Times New Roman" w:cs="Times New Roman"/>
          <w:b/>
          <w:color w:val="000000" w:themeColor="text1"/>
          <w:lang w:val="kk-KZ"/>
        </w:rPr>
        <w:t>2</w:t>
      </w:r>
      <w:r w:rsidR="00F34560">
        <w:rPr>
          <w:rFonts w:ascii="Times New Roman" w:hAnsi="Times New Roman" w:cs="Times New Roman"/>
          <w:b/>
          <w:color w:val="000000" w:themeColor="text1"/>
          <w:lang w:val="kk-KZ"/>
        </w:rPr>
        <w:t>8</w:t>
      </w:r>
      <w:r w:rsidRPr="00696399">
        <w:rPr>
          <w:rFonts w:ascii="Times New Roman" w:hAnsi="Times New Roman" w:cs="Times New Roman"/>
          <w:b/>
          <w:color w:val="000000" w:themeColor="text1"/>
        </w:rPr>
        <w:t xml:space="preserve">» </w:t>
      </w:r>
      <w:r w:rsidR="002122BF">
        <w:rPr>
          <w:rFonts w:ascii="Times New Roman" w:hAnsi="Times New Roman" w:cs="Times New Roman"/>
          <w:b/>
          <w:color w:val="000000" w:themeColor="text1"/>
          <w:lang w:val="kk-KZ"/>
        </w:rPr>
        <w:t>марта</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lastRenderedPageBreak/>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2122BF">
        <w:rPr>
          <w:rFonts w:ascii="Times New Roman" w:hAnsi="Times New Roman" w:cs="Times New Roman"/>
          <w:b/>
          <w:color w:val="000000" w:themeColor="text1"/>
          <w:lang w:val="kk-KZ"/>
        </w:rPr>
        <w:t>2</w:t>
      </w:r>
      <w:r w:rsidR="00F34560">
        <w:rPr>
          <w:rFonts w:ascii="Times New Roman" w:hAnsi="Times New Roman" w:cs="Times New Roman"/>
          <w:b/>
          <w:color w:val="000000" w:themeColor="text1"/>
          <w:lang w:val="kk-KZ"/>
        </w:rPr>
        <w:t>8</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2122BF">
        <w:rPr>
          <w:rFonts w:ascii="Times New Roman" w:hAnsi="Times New Roman" w:cs="Times New Roman"/>
          <w:b/>
          <w:color w:val="000000" w:themeColor="text1"/>
        </w:rPr>
        <w:t xml:space="preserve">марта </w:t>
      </w:r>
      <w:r w:rsidR="00F34560">
        <w:rPr>
          <w:rFonts w:ascii="Times New Roman" w:hAnsi="Times New Roman" w:cs="Times New Roman"/>
          <w:b/>
          <w:color w:val="000000" w:themeColor="text1"/>
          <w:lang w:val="kk-KZ"/>
        </w:rPr>
        <w:br/>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ҚР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ҚР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Дәрілік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Бұдан әрі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ұғымдарға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көрсеткіштен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түріндегі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7. Шарт шеңберінде берілетін тауарлар техникалық ерекшелікте көрсетілген стандарттарға сәйкес келуі немесе олардан жоғары болуы тиіс.</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тиіс.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15. Осы Шарт шеңберінде Өнім беруші тендерлік құжаттамада көрсетілген қызметтерді ұсынуы тиіс.</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16. Ілеспе қызметтердің бағасы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Өнім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Өнім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Өнім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28. Тауарларды беруді және қызметтерді көрсетуді Өнім беруші баға кестесінде көрсетілген кестеге сәйкес жүзеге асыруға тиіс.</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басқа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мұндай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көрсетілген күні (егер хабарламада көрсетілсе) осы күндердің қайсысы кешірек болатынына байланысты күшіне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45. Салықтар мен бюджетке төленетін басқа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Өнім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Өнім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жемқорлыққа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тұлғаға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 xml:space="preserve">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азбаша хабарлама алған Тарап күнтізбелік 10 (он) күн ішінде тергеу жүргізеді және оның нәтижелерін басқа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 xml:space="preserve">Алматы қаласы Денсаулық сақтау басқармасының шаруашылық жүргізу құқығындағы «Орталық қалалық клиникалық аурухана» мемлекеттік коммуналдық кәсіпорны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Өнім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г.Алматы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xml:space="preserve">      Сроки выплат в течении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г.Алматы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xml:space="preserve">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Шартқа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Ед.изм.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кәсіпорны</w:t>
            </w:r>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Өнім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C4" w:rsidRDefault="00534DC4" w:rsidP="00D84FCC">
      <w:pPr>
        <w:spacing w:after="0" w:line="240" w:lineRule="auto"/>
      </w:pPr>
      <w:r>
        <w:separator/>
      </w:r>
    </w:p>
  </w:endnote>
  <w:endnote w:type="continuationSeparator" w:id="0">
    <w:p w:rsidR="00534DC4" w:rsidRDefault="00534DC4"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C4" w:rsidRDefault="00534DC4" w:rsidP="00D84FCC">
      <w:pPr>
        <w:spacing w:after="0" w:line="240" w:lineRule="auto"/>
      </w:pPr>
      <w:r>
        <w:separator/>
      </w:r>
    </w:p>
  </w:footnote>
  <w:footnote w:type="continuationSeparator" w:id="0">
    <w:p w:rsidR="00534DC4" w:rsidRDefault="00534DC4"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84079"/>
    <w:rsid w:val="00092467"/>
    <w:rsid w:val="000A1A86"/>
    <w:rsid w:val="000E7BB9"/>
    <w:rsid w:val="001721DC"/>
    <w:rsid w:val="001819FA"/>
    <w:rsid w:val="001A701D"/>
    <w:rsid w:val="001C24A4"/>
    <w:rsid w:val="001C647E"/>
    <w:rsid w:val="001D7967"/>
    <w:rsid w:val="00200544"/>
    <w:rsid w:val="002021FD"/>
    <w:rsid w:val="002122BF"/>
    <w:rsid w:val="00213E00"/>
    <w:rsid w:val="00234BB4"/>
    <w:rsid w:val="002439D6"/>
    <w:rsid w:val="00263FB9"/>
    <w:rsid w:val="00271152"/>
    <w:rsid w:val="0027587B"/>
    <w:rsid w:val="00287BB9"/>
    <w:rsid w:val="002976B0"/>
    <w:rsid w:val="002B24B4"/>
    <w:rsid w:val="002C1204"/>
    <w:rsid w:val="002E5609"/>
    <w:rsid w:val="00311F81"/>
    <w:rsid w:val="00352260"/>
    <w:rsid w:val="003522C0"/>
    <w:rsid w:val="00353714"/>
    <w:rsid w:val="003C73DC"/>
    <w:rsid w:val="003E4CE4"/>
    <w:rsid w:val="003E585D"/>
    <w:rsid w:val="004368FF"/>
    <w:rsid w:val="004413BE"/>
    <w:rsid w:val="00461D4E"/>
    <w:rsid w:val="00475F8B"/>
    <w:rsid w:val="004956C6"/>
    <w:rsid w:val="004E4491"/>
    <w:rsid w:val="004F00BA"/>
    <w:rsid w:val="00500170"/>
    <w:rsid w:val="0050372E"/>
    <w:rsid w:val="00534DC4"/>
    <w:rsid w:val="00540021"/>
    <w:rsid w:val="0055280A"/>
    <w:rsid w:val="00555B97"/>
    <w:rsid w:val="00584769"/>
    <w:rsid w:val="005C47FE"/>
    <w:rsid w:val="005C7121"/>
    <w:rsid w:val="00630348"/>
    <w:rsid w:val="0064189E"/>
    <w:rsid w:val="0068264C"/>
    <w:rsid w:val="0069132D"/>
    <w:rsid w:val="00696399"/>
    <w:rsid w:val="006A27CD"/>
    <w:rsid w:val="006B2369"/>
    <w:rsid w:val="006B5F41"/>
    <w:rsid w:val="006C662D"/>
    <w:rsid w:val="006F1DA4"/>
    <w:rsid w:val="00713CE0"/>
    <w:rsid w:val="00734E5B"/>
    <w:rsid w:val="0073522B"/>
    <w:rsid w:val="00740105"/>
    <w:rsid w:val="0074145B"/>
    <w:rsid w:val="0075471E"/>
    <w:rsid w:val="00767B01"/>
    <w:rsid w:val="0077056C"/>
    <w:rsid w:val="00776BD3"/>
    <w:rsid w:val="007849C5"/>
    <w:rsid w:val="007B76E8"/>
    <w:rsid w:val="00807D21"/>
    <w:rsid w:val="0082575A"/>
    <w:rsid w:val="00836EC2"/>
    <w:rsid w:val="00845780"/>
    <w:rsid w:val="00892555"/>
    <w:rsid w:val="008D79C9"/>
    <w:rsid w:val="008E502E"/>
    <w:rsid w:val="00900669"/>
    <w:rsid w:val="0091369F"/>
    <w:rsid w:val="00982175"/>
    <w:rsid w:val="00993DA4"/>
    <w:rsid w:val="00996E60"/>
    <w:rsid w:val="009C1A74"/>
    <w:rsid w:val="009D37D9"/>
    <w:rsid w:val="00A10671"/>
    <w:rsid w:val="00A23926"/>
    <w:rsid w:val="00A32E74"/>
    <w:rsid w:val="00A85BF7"/>
    <w:rsid w:val="00AA18D1"/>
    <w:rsid w:val="00AB7C8C"/>
    <w:rsid w:val="00AC0F03"/>
    <w:rsid w:val="00AD074C"/>
    <w:rsid w:val="00B054EC"/>
    <w:rsid w:val="00B2172F"/>
    <w:rsid w:val="00B330A5"/>
    <w:rsid w:val="00B579ED"/>
    <w:rsid w:val="00B70517"/>
    <w:rsid w:val="00B82135"/>
    <w:rsid w:val="00B91F72"/>
    <w:rsid w:val="00B9238F"/>
    <w:rsid w:val="00BA4AAE"/>
    <w:rsid w:val="00BA7826"/>
    <w:rsid w:val="00BA79BE"/>
    <w:rsid w:val="00BC567A"/>
    <w:rsid w:val="00BC66BD"/>
    <w:rsid w:val="00BD32FF"/>
    <w:rsid w:val="00BE0C74"/>
    <w:rsid w:val="00BE6027"/>
    <w:rsid w:val="00C472AA"/>
    <w:rsid w:val="00C52A3B"/>
    <w:rsid w:val="00C81E7D"/>
    <w:rsid w:val="00CE5382"/>
    <w:rsid w:val="00CE56F0"/>
    <w:rsid w:val="00CF5DC8"/>
    <w:rsid w:val="00D06095"/>
    <w:rsid w:val="00D10E8A"/>
    <w:rsid w:val="00D53D4C"/>
    <w:rsid w:val="00D84FCC"/>
    <w:rsid w:val="00DB535B"/>
    <w:rsid w:val="00DD7C5D"/>
    <w:rsid w:val="00DE168B"/>
    <w:rsid w:val="00E31B64"/>
    <w:rsid w:val="00E40984"/>
    <w:rsid w:val="00E92992"/>
    <w:rsid w:val="00E92AA1"/>
    <w:rsid w:val="00EC6D6E"/>
    <w:rsid w:val="00ED37E8"/>
    <w:rsid w:val="00EF30A9"/>
    <w:rsid w:val="00EF3B41"/>
    <w:rsid w:val="00F16B45"/>
    <w:rsid w:val="00F34560"/>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D8A9-71CE-47F3-A6BD-39C711AF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9069</Words>
  <Characters>51697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2022-03-03T09:05:00Z</dcterms:created>
  <dcterms:modified xsi:type="dcterms:W3CDTF">2022-03-03T09:05:00Z</dcterms:modified>
</cp:coreProperties>
</file>