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8D4A485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01707">
        <w:rPr>
          <w:rFonts w:ascii="Times New Roman" w:hAnsi="Times New Roman" w:cs="Times New Roman"/>
          <w:b/>
        </w:rPr>
        <w:t>1</w:t>
      </w:r>
      <w:r w:rsidR="00482DB5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0A7704FC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01707">
        <w:rPr>
          <w:rFonts w:ascii="Times New Roman" w:eastAsia="Times New Roman" w:hAnsi="Times New Roman" w:cs="Times New Roman"/>
        </w:rPr>
        <w:t>1</w:t>
      </w:r>
      <w:r w:rsidR="00482DB5">
        <w:rPr>
          <w:rFonts w:ascii="Times New Roman" w:eastAsia="Times New Roman" w:hAnsi="Times New Roman" w:cs="Times New Roman"/>
        </w:rPr>
        <w:t>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482DB5">
        <w:rPr>
          <w:rFonts w:ascii="Times New Roman" w:eastAsia="Times New Roman" w:hAnsi="Times New Roman" w:cs="Times New Roman"/>
        </w:rPr>
        <w:t>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0EA09241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482DB5">
        <w:rPr>
          <w:rFonts w:ascii="Times New Roman" w:eastAsia="Times New Roman" w:hAnsi="Times New Roman" w:cs="Times New Roman"/>
        </w:rPr>
        <w:t>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428931D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01707">
        <w:rPr>
          <w:rFonts w:ascii="Times New Roman" w:hAnsi="Times New Roman" w:cs="Times New Roman"/>
          <w:b/>
        </w:rPr>
        <w:t>1</w:t>
      </w:r>
      <w:r w:rsidR="00482DB5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  <w:bookmarkStart w:id="0" w:name="_GoBack"/>
      <w:bookmarkEnd w:id="0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5C7BE815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1</w:t>
      </w:r>
      <w:r w:rsidR="00482DB5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482DB5">
        <w:rPr>
          <w:rFonts w:ascii="Times New Roman" w:eastAsia="Times New Roman" w:hAnsi="Times New Roman" w:cs="Times New Roman"/>
        </w:rPr>
        <w:t>1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F5C7822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482DB5">
        <w:rPr>
          <w:rFonts w:ascii="Times New Roman" w:eastAsia="Times New Roman" w:hAnsi="Times New Roman" w:cs="Times New Roman"/>
        </w:rPr>
        <w:t>1.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1134"/>
        <w:gridCol w:w="675"/>
        <w:gridCol w:w="1167"/>
        <w:gridCol w:w="1276"/>
      </w:tblGrid>
      <w:tr w:rsidR="00454743" w:rsidRPr="00746D8C" w14:paraId="192D9B36" w14:textId="77777777" w:rsidTr="00482DB5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675" w:type="dxa"/>
            <w:vAlign w:val="center"/>
          </w:tcPr>
          <w:p w14:paraId="69F7C7B7" w14:textId="77777777" w:rsidR="00454743" w:rsidRPr="00746D8C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746D8C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746D8C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482DB5" w:rsidRPr="00746D8C" w14:paraId="4662D9DF" w14:textId="77777777" w:rsidTr="00482DB5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5A835BF" w14:textId="7F7E243F" w:rsidR="00482DB5" w:rsidRPr="00746D8C" w:rsidRDefault="00482DB5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54ADD709" w:rsidR="00482DB5" w:rsidRPr="00746D8C" w:rsidRDefault="00482D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30808DFA" w:rsidR="00482DB5" w:rsidRPr="00746D8C" w:rsidRDefault="00482D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Инфузионная</w:t>
            </w:r>
            <w:proofErr w:type="spellEnd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шрицевых</w:t>
            </w:r>
            <w:proofErr w:type="spellEnd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насосов, ПВХ, не менее 150 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018E4" w14:textId="07071B44" w:rsidR="00482DB5" w:rsidRPr="00746D8C" w:rsidRDefault="00482D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5" w:type="dxa"/>
            <w:vAlign w:val="center"/>
          </w:tcPr>
          <w:p w14:paraId="7DE7B373" w14:textId="4F380B91" w:rsidR="00482DB5" w:rsidRPr="00746D8C" w:rsidRDefault="00482DB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3420A08E" w:rsidR="00482DB5" w:rsidRPr="00746D8C" w:rsidRDefault="00482DB5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550,00</w:t>
            </w:r>
          </w:p>
        </w:tc>
        <w:tc>
          <w:tcPr>
            <w:tcW w:w="1276" w:type="dxa"/>
            <w:vAlign w:val="center"/>
          </w:tcPr>
          <w:p w14:paraId="65D20DA8" w14:textId="62BC2A1F" w:rsidR="00482DB5" w:rsidRPr="00746D8C" w:rsidRDefault="00482DB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1 100 000,0</w:t>
            </w:r>
          </w:p>
        </w:tc>
      </w:tr>
      <w:tr w:rsidR="00482DB5" w:rsidRPr="00746D8C" w14:paraId="22A1C490" w14:textId="77777777" w:rsidTr="00482DB5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2EF591E" w14:textId="08E87B03" w:rsidR="00482DB5" w:rsidRPr="00746D8C" w:rsidRDefault="00482DB5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center"/>
          </w:tcPr>
          <w:p w14:paraId="433AC1D2" w14:textId="414C970C" w:rsidR="00482DB5" w:rsidRPr="00746D8C" w:rsidRDefault="00482D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2A5AAC" w14:textId="5E976D01" w:rsidR="00482DB5" w:rsidRPr="00746D8C" w:rsidRDefault="00482D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</w:t>
            </w:r>
            <w:proofErr w:type="spellStart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Pico</w:t>
            </w:r>
            <w:proofErr w:type="spellEnd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сухим гепарином для взятия артериальной крови Pico50 объемом 2.0 мл (артериальные, без иглы, 1 коробка 100 штук). В одной упаковке 100 шт. </w:t>
            </w:r>
            <w:proofErr w:type="spellStart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гепаринизированных</w:t>
            </w:r>
            <w:proofErr w:type="spellEnd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сбалансированных по электролитам шприцев. Концентрация литиевого сухого гепарина 80 МЕ (международных единиц). Сбалансированный по электролитам сухой </w:t>
            </w:r>
            <w:proofErr w:type="spellStart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гепарин нанесен на целлюлозные волокна. Объем пробы </w:t>
            </w:r>
            <w:proofErr w:type="spellStart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482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0,5-max2,0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559F8" w14:textId="18520820" w:rsidR="00482DB5" w:rsidRPr="00746D8C" w:rsidRDefault="00482D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vAlign w:val="center"/>
          </w:tcPr>
          <w:p w14:paraId="00B93EA3" w14:textId="0187C701" w:rsidR="00482DB5" w:rsidRPr="00746D8C" w:rsidRDefault="00482DB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DA4A7E3" w14:textId="50EA1E65" w:rsidR="00482DB5" w:rsidRPr="00746D8C" w:rsidRDefault="00482DB5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87 781,00</w:t>
            </w:r>
          </w:p>
        </w:tc>
        <w:tc>
          <w:tcPr>
            <w:tcW w:w="1276" w:type="dxa"/>
            <w:vAlign w:val="center"/>
          </w:tcPr>
          <w:p w14:paraId="10C9A3E8" w14:textId="409CE8E7" w:rsidR="00482DB5" w:rsidRPr="00746D8C" w:rsidRDefault="00482DB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4 389 050,00</w:t>
            </w:r>
          </w:p>
        </w:tc>
      </w:tr>
      <w:tr w:rsidR="00482DB5" w:rsidRPr="00746D8C" w14:paraId="7D1CEE15" w14:textId="77777777" w:rsidTr="00482DB5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69CBAA4" w14:textId="59E6941D" w:rsidR="00482DB5" w:rsidRPr="00746D8C" w:rsidRDefault="00482DB5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center"/>
          </w:tcPr>
          <w:p w14:paraId="45B0D8E7" w14:textId="30FC0A3D" w:rsidR="00482DB5" w:rsidRPr="00746D8C" w:rsidRDefault="00C818C1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для </w:t>
            </w:r>
            <w:proofErr w:type="gram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комбинированной</w:t>
            </w:r>
            <w:proofErr w:type="gram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хирурги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офтальмологическая хирургическая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7E0005" w14:textId="7D4E8AC3" w:rsidR="00482DB5" w:rsidRPr="00746D8C" w:rsidRDefault="00C818C1" w:rsidP="00C818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комбинированной хирургии </w:t>
            </w:r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Система офтальмологическая хирургическая одноразовый офтальмологический набор для комбинированных процедур по задней </w:t>
            </w:r>
            <w:proofErr w:type="spell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витректомии</w:t>
            </w:r>
            <w:proofErr w:type="spell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заднем отрезке глаза и для комбинированных процедур по удалению катаракты на переднем отрезке глаза.</w:t>
            </w:r>
            <w:proofErr w:type="gram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Состав: </w:t>
            </w:r>
            <w:proofErr w:type="spell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витреотом</w:t>
            </w:r>
            <w:proofErr w:type="spell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25+G, кассета/мешок для сбора жидкости, </w:t>
            </w:r>
            <w:proofErr w:type="spell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эндоокулярный</w:t>
            </w:r>
            <w:proofErr w:type="spell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осветитель 25+G, </w:t>
            </w:r>
            <w:proofErr w:type="spell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инфузионная</w:t>
            </w:r>
            <w:proofErr w:type="spell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канюля, система принудительной </w:t>
            </w:r>
            <w:proofErr w:type="spell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инфузии</w:t>
            </w:r>
            <w:proofErr w:type="spell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инфузионная</w:t>
            </w:r>
            <w:proofErr w:type="spell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 с автоматическим клапаном, ирригационно-аспирационный тюбинг, дополнительный аспирационный тюбинг. 24 </w:t>
            </w:r>
            <w:proofErr w:type="spellStart"/>
            <w:proofErr w:type="gramStart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C81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коробке.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37B15" w14:textId="7D5C10B1" w:rsidR="00482DB5" w:rsidRPr="00746D8C" w:rsidRDefault="00C818C1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vAlign w:val="center"/>
          </w:tcPr>
          <w:p w14:paraId="6425C877" w14:textId="4FF94246" w:rsidR="00482DB5" w:rsidRPr="00746D8C" w:rsidRDefault="00C818C1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888768B" w14:textId="7DBD8743" w:rsidR="00482DB5" w:rsidRPr="00746D8C" w:rsidRDefault="00C818C1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1450 000,00</w:t>
            </w:r>
          </w:p>
        </w:tc>
        <w:tc>
          <w:tcPr>
            <w:tcW w:w="1276" w:type="dxa"/>
            <w:vAlign w:val="center"/>
          </w:tcPr>
          <w:p w14:paraId="463868E5" w14:textId="006BFFFF" w:rsidR="00482DB5" w:rsidRPr="00746D8C" w:rsidRDefault="00C818C1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5 800 000,00</w:t>
            </w:r>
          </w:p>
        </w:tc>
      </w:tr>
    </w:tbl>
    <w:p w14:paraId="0085ED66" w14:textId="77777777" w:rsidR="00746D8C" w:rsidRDefault="00746D8C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F01707">
        <w:rPr>
          <w:rFonts w:ascii="Times New Roman" w:hAnsi="Times New Roman" w:cs="Times New Roman"/>
          <w:b/>
        </w:rPr>
        <w:t>Жандосова</w:t>
      </w:r>
      <w:proofErr w:type="spellEnd"/>
      <w:r w:rsidRPr="00F01707">
        <w:rPr>
          <w:rFonts w:ascii="Times New Roman" w:hAnsi="Times New Roman" w:cs="Times New Roman"/>
          <w:b/>
        </w:rPr>
        <w:t xml:space="preserve"> 6, аптечный склад.</w:t>
      </w:r>
    </w:p>
    <w:sectPr w:rsidR="00454743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2DB5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90FB-9D08-4EFB-9018-68E9B28D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2023-02-13T11:56:00Z</dcterms:created>
  <dcterms:modified xsi:type="dcterms:W3CDTF">2023-02-13T11:56:00Z</dcterms:modified>
</cp:coreProperties>
</file>