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4200D76" w:rsidR="005F3C94" w:rsidRPr="00F32C47" w:rsidRDefault="002D1A47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12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441BD1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19E522C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2D1A47">
        <w:rPr>
          <w:rFonts w:ascii="Times New Roman" w:eastAsia="Times New Roman" w:hAnsi="Times New Roman" w:cs="Times New Roman"/>
        </w:rPr>
        <w:t>12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2D1A47">
        <w:rPr>
          <w:rFonts w:ascii="Times New Roman" w:eastAsia="Times New Roman" w:hAnsi="Times New Roman" w:cs="Times New Roman"/>
        </w:rPr>
        <w:t xml:space="preserve"> </w:t>
      </w:r>
      <w:r w:rsidR="00883D74">
        <w:rPr>
          <w:rFonts w:ascii="Times New Roman" w:eastAsia="Times New Roman" w:hAnsi="Times New Roman" w:cs="Times New Roman"/>
        </w:rPr>
        <w:t>19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A7C91ED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754862">
        <w:rPr>
          <w:rFonts w:ascii="Times New Roman" w:eastAsia="Times New Roman" w:hAnsi="Times New Roman" w:cs="Times New Roman"/>
        </w:rPr>
        <w:t xml:space="preserve"> </w:t>
      </w:r>
      <w:r w:rsidR="00883D74">
        <w:rPr>
          <w:rFonts w:ascii="Times New Roman" w:eastAsia="Times New Roman" w:hAnsi="Times New Roman" w:cs="Times New Roman"/>
        </w:rPr>
        <w:t>19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588C7C5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2D1A47">
        <w:rPr>
          <w:rFonts w:ascii="Times New Roman" w:hAnsi="Times New Roman" w:cs="Times New Roman"/>
          <w:b/>
        </w:rPr>
        <w:t>12</w:t>
      </w:r>
      <w:r w:rsidR="00EC2F14" w:rsidRPr="00F32C47">
        <w:rPr>
          <w:rFonts w:ascii="Times New Roman" w:hAnsi="Times New Roman" w:cs="Times New Roman"/>
          <w:b/>
        </w:rPr>
        <w:t>.</w:t>
      </w:r>
      <w:r w:rsidR="00441BD1">
        <w:rPr>
          <w:rFonts w:ascii="Times New Roman" w:hAnsi="Times New Roman" w:cs="Times New Roman"/>
          <w:b/>
        </w:rPr>
        <w:t>12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4308F576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2D1A47">
        <w:rPr>
          <w:rFonts w:ascii="Times New Roman" w:eastAsia="Times New Roman" w:hAnsi="Times New Roman" w:cs="Times New Roman"/>
        </w:rPr>
        <w:t>12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883D74">
        <w:rPr>
          <w:rFonts w:ascii="Times New Roman" w:eastAsia="Times New Roman" w:hAnsi="Times New Roman" w:cs="Times New Roman"/>
        </w:rPr>
        <w:t>19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25C99A70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83D74">
        <w:rPr>
          <w:rFonts w:ascii="Times New Roman" w:eastAsia="Times New Roman" w:hAnsi="Times New Roman" w:cs="Times New Roman"/>
        </w:rPr>
        <w:t>19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F32C47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5103"/>
        <w:gridCol w:w="807"/>
        <w:gridCol w:w="610"/>
        <w:gridCol w:w="992"/>
        <w:gridCol w:w="1276"/>
      </w:tblGrid>
      <w:tr w:rsidR="008A0564" w:rsidRPr="00A55A2A" w14:paraId="262B1CF7" w14:textId="77777777" w:rsidTr="008A05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14A72465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8A0564" w:rsidRPr="00A55A2A" w14:paraId="40240462" w14:textId="77777777" w:rsidTr="008A0564">
        <w:trPr>
          <w:trHeight w:val="1517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14:paraId="342A1A3F" w14:textId="14C83EB9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292F7B7" w14:textId="443B5B4B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тип "многофункциональный", с каналом для проводника, с коническим носиком,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 каналом для промывания и подачи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рентгеноконтрастного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вещества, длина струны 25 мм, с черными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рентгеноконтрастными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метками, в сборе с несъемной ручкой, ОДНОРАЗОВЫЙ, диаметр катетера 2,55 мм, диаметр дистального конца 2,1 мм, для канала 2,8 мм, длина 200 см,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B35DA8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0" w:type="dxa"/>
            <w:vAlign w:val="center"/>
          </w:tcPr>
          <w:p w14:paraId="4C0C7B74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E8DCE5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189 950</w:t>
            </w:r>
          </w:p>
          <w:p w14:paraId="216F092C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BF9781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569 850</w:t>
            </w:r>
          </w:p>
        </w:tc>
      </w:tr>
      <w:tr w:rsidR="008A0564" w:rsidRPr="00A55A2A" w14:paraId="1D58BA4C" w14:textId="77777777" w:rsidTr="008A0564">
        <w:trPr>
          <w:trHeight w:val="990"/>
        </w:trPr>
        <w:tc>
          <w:tcPr>
            <w:tcW w:w="440" w:type="dxa"/>
            <w:shd w:val="clear" w:color="auto" w:fill="auto"/>
            <w:noWrap/>
            <w:vAlign w:val="bottom"/>
          </w:tcPr>
          <w:p w14:paraId="40C8F93F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14:paraId="31FF576C" w14:textId="74B94B46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Корзина для разрушения и захвата камней</w:t>
            </w:r>
          </w:p>
        </w:tc>
        <w:tc>
          <w:tcPr>
            <w:tcW w:w="5103" w:type="dxa"/>
            <w:shd w:val="clear" w:color="auto" w:fill="auto"/>
            <w:hideMark/>
          </w:tcPr>
          <w:p w14:paraId="790EB0F6" w14:textId="4E3DC019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Корзина для разрушения и захвата камней, ОДНОРАЗОВАЯ, в сборе с ручкой, с портом для контрастного в-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4-х струнная, двойная струна, ромбовидной формы, высота=40мм, Ø=2,35 мм, длина 200 см, 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3A7CDB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0" w:type="dxa"/>
            <w:vAlign w:val="center"/>
          </w:tcPr>
          <w:p w14:paraId="178BEB8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D7722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167 400</w:t>
            </w:r>
          </w:p>
          <w:p w14:paraId="7D4359BF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D6DFE9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334 800</w:t>
            </w:r>
          </w:p>
        </w:tc>
      </w:tr>
      <w:tr w:rsidR="008A0564" w:rsidRPr="00A55A2A" w14:paraId="2DA1C3A2" w14:textId="77777777" w:rsidTr="008A0564">
        <w:trPr>
          <w:trHeight w:val="897"/>
        </w:trPr>
        <w:tc>
          <w:tcPr>
            <w:tcW w:w="440" w:type="dxa"/>
            <w:shd w:val="clear" w:color="auto" w:fill="auto"/>
            <w:noWrap/>
            <w:vAlign w:val="bottom"/>
          </w:tcPr>
          <w:p w14:paraId="6FEFC87A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14:paraId="728B545B" w14:textId="6F792504" w:rsidR="008A0564" w:rsidRPr="00A55A2A" w:rsidRDefault="008A0564" w:rsidP="008471C8">
            <w:pPr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Проводник</w:t>
            </w:r>
          </w:p>
        </w:tc>
        <w:tc>
          <w:tcPr>
            <w:tcW w:w="5103" w:type="dxa"/>
            <w:shd w:val="clear" w:color="auto" w:fill="auto"/>
          </w:tcPr>
          <w:p w14:paraId="5CEAEC7A" w14:textId="2BC9A9FF" w:rsidR="008A0564" w:rsidRPr="00A55A2A" w:rsidRDefault="008A0564" w:rsidP="008471C8">
            <w:pPr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 xml:space="preserve">Проводник, </w:t>
            </w:r>
            <w:proofErr w:type="spellStart"/>
            <w:r w:rsidRPr="00A55A2A">
              <w:rPr>
                <w:rFonts w:ascii="Times New Roman" w:hAnsi="Times New Roman"/>
                <w:sz w:val="18"/>
                <w:szCs w:val="18"/>
              </w:rPr>
              <w:t>сверхгибкий</w:t>
            </w:r>
            <w:proofErr w:type="spellEnd"/>
            <w:r w:rsidRPr="00A55A2A">
              <w:rPr>
                <w:rFonts w:ascii="Times New Roman" w:hAnsi="Times New Roman"/>
                <w:sz w:val="18"/>
                <w:szCs w:val="18"/>
              </w:rPr>
              <w:t>, устойчивый к перекручиванию, из материала - NITINOL, в стерильной упаковке, мягкий прямой дистальный конец (5 см), диаметр .035 дюймов, длина 450 см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B7EDD69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0" w:type="dxa"/>
            <w:vAlign w:val="center"/>
          </w:tcPr>
          <w:p w14:paraId="0D00DDDD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4C1D2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  <w:tc>
          <w:tcPr>
            <w:tcW w:w="1276" w:type="dxa"/>
            <w:vAlign w:val="center"/>
          </w:tcPr>
          <w:p w14:paraId="04077861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</w:tr>
      <w:tr w:rsidR="008A0564" w:rsidRPr="00A55A2A" w14:paraId="596516F3" w14:textId="77777777" w:rsidTr="008A0564">
        <w:trPr>
          <w:trHeight w:val="816"/>
        </w:trPr>
        <w:tc>
          <w:tcPr>
            <w:tcW w:w="440" w:type="dxa"/>
            <w:shd w:val="clear" w:color="auto" w:fill="auto"/>
            <w:noWrap/>
            <w:vAlign w:val="bottom"/>
          </w:tcPr>
          <w:p w14:paraId="31DADFA4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14:paraId="5D8207FD" w14:textId="158DEB57" w:rsidR="008A0564" w:rsidRPr="00A55A2A" w:rsidRDefault="008A0564" w:rsidP="008471C8">
            <w:pPr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Проводник</w:t>
            </w:r>
          </w:p>
        </w:tc>
        <w:tc>
          <w:tcPr>
            <w:tcW w:w="5103" w:type="dxa"/>
            <w:shd w:val="clear" w:color="auto" w:fill="auto"/>
          </w:tcPr>
          <w:p w14:paraId="34C25C7D" w14:textId="66301427" w:rsidR="008A0564" w:rsidRPr="00A55A2A" w:rsidRDefault="008A0564" w:rsidP="008471C8">
            <w:pPr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 xml:space="preserve">Проводник, </w:t>
            </w:r>
            <w:proofErr w:type="spellStart"/>
            <w:r w:rsidRPr="00A55A2A">
              <w:rPr>
                <w:rFonts w:ascii="Times New Roman" w:hAnsi="Times New Roman"/>
                <w:sz w:val="18"/>
                <w:szCs w:val="18"/>
              </w:rPr>
              <w:t>сверхгибкий</w:t>
            </w:r>
            <w:proofErr w:type="spellEnd"/>
            <w:r w:rsidRPr="00A55A2A">
              <w:rPr>
                <w:rFonts w:ascii="Times New Roman" w:hAnsi="Times New Roman"/>
                <w:sz w:val="18"/>
                <w:szCs w:val="18"/>
              </w:rPr>
              <w:t>, устойчивый к перекручиванию, из материала - NITINOL, в стерильной упаковке, мягкий изогнутый дистальный конец (5 см), диаметр .035 дюймов, длина 450 см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F62ECF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0" w:type="dxa"/>
            <w:vAlign w:val="center"/>
          </w:tcPr>
          <w:p w14:paraId="3128C8F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B2AFC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  <w:tc>
          <w:tcPr>
            <w:tcW w:w="1276" w:type="dxa"/>
            <w:vAlign w:val="center"/>
          </w:tcPr>
          <w:p w14:paraId="560D5AE6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</w:tr>
      <w:tr w:rsidR="008A0564" w:rsidRPr="00A55A2A" w14:paraId="2142682E" w14:textId="77777777" w:rsidTr="008A0564">
        <w:trPr>
          <w:trHeight w:val="1200"/>
        </w:trPr>
        <w:tc>
          <w:tcPr>
            <w:tcW w:w="440" w:type="dxa"/>
            <w:shd w:val="clear" w:color="auto" w:fill="auto"/>
            <w:noWrap/>
            <w:vAlign w:val="bottom"/>
          </w:tcPr>
          <w:p w14:paraId="162E499D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14:paraId="2AFF7434" w14:textId="6E6A2604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8CABDA4" w14:textId="60795D5C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 каналом для проводника, под проводник 0.035 дюймов, с каналом для промывания и подачи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рентгеноконтрастного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 w:rsidRPr="00A55A2A">
              <w:rPr>
                <w:rFonts w:ascii="Times New Roman" w:hAnsi="Times New Roman"/>
                <w:sz w:val="18"/>
                <w:szCs w:val="18"/>
              </w:rPr>
              <w:t>ещества, длина струны 25 мм,  однократного применения, для канала 2,8 мм, длина 200 см</w:t>
            </w: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, c изолированной струной, 5 штук в упаковке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4D9F97E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5шт/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10" w:type="dxa"/>
            <w:vAlign w:val="center"/>
          </w:tcPr>
          <w:p w14:paraId="19454A77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67C1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964 800</w:t>
            </w:r>
          </w:p>
          <w:p w14:paraId="3513556C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C0EC9F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964 800</w:t>
            </w:r>
          </w:p>
        </w:tc>
      </w:tr>
      <w:tr w:rsidR="008A0564" w:rsidRPr="00A55A2A" w14:paraId="5DD759E1" w14:textId="77777777" w:rsidTr="008A0564">
        <w:trPr>
          <w:trHeight w:val="1200"/>
        </w:trPr>
        <w:tc>
          <w:tcPr>
            <w:tcW w:w="440" w:type="dxa"/>
            <w:shd w:val="clear" w:color="auto" w:fill="auto"/>
            <w:noWrap/>
            <w:vAlign w:val="bottom"/>
          </w:tcPr>
          <w:p w14:paraId="0BA36D14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14:paraId="6972DCE3" w14:textId="79414D4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79C4CDE" w14:textId="2519CA4E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 каналом для проводника, под проводник 0.035 дюймов, с каналом для промывания и подачи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рентгеноконтрастного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вещества</w:t>
            </w:r>
            <w:r w:rsidRPr="00A55A2A">
              <w:rPr>
                <w:rFonts w:ascii="Times New Roman" w:hAnsi="Times New Roman"/>
                <w:sz w:val="18"/>
                <w:szCs w:val="18"/>
              </w:rPr>
              <w:t>, длина струны 30 мм,  однократного применения, для канала 2,8 мм, длина 200 см</w:t>
            </w: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, с изолированной струной,  5 штук в упаковке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23DA7C1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5шт/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10" w:type="dxa"/>
            <w:vAlign w:val="center"/>
          </w:tcPr>
          <w:p w14:paraId="72597F69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79D95A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964 800</w:t>
            </w:r>
          </w:p>
          <w:p w14:paraId="5394356D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D26771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964 800</w:t>
            </w:r>
          </w:p>
        </w:tc>
      </w:tr>
      <w:tr w:rsidR="008A0564" w:rsidRPr="00A55A2A" w14:paraId="092A1388" w14:textId="77777777" w:rsidTr="008A0564">
        <w:trPr>
          <w:trHeight w:val="792"/>
        </w:trPr>
        <w:tc>
          <w:tcPr>
            <w:tcW w:w="440" w:type="dxa"/>
            <w:shd w:val="clear" w:color="auto" w:fill="auto"/>
            <w:noWrap/>
            <w:vAlign w:val="bottom"/>
          </w:tcPr>
          <w:p w14:paraId="299FE215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14:paraId="2FE3D383" w14:textId="02428446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Корзина для разрушения и захвата камней</w:t>
            </w:r>
          </w:p>
        </w:tc>
        <w:tc>
          <w:tcPr>
            <w:tcW w:w="5103" w:type="dxa"/>
            <w:shd w:val="clear" w:color="auto" w:fill="auto"/>
          </w:tcPr>
          <w:p w14:paraId="75B11532" w14:textId="7690E666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Корзина для разрушения и захвата камней, 4-х струнная, двойные струны, L=200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cm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, в тефлоновом тубусе с портом для контрастного в-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, высота 50 мм, для канала 2,8 мм, однократного применения, 5 штук в упаковке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258709A4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5шт/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10" w:type="dxa"/>
            <w:vAlign w:val="center"/>
          </w:tcPr>
          <w:p w14:paraId="48899066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757F41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836 200</w:t>
            </w:r>
          </w:p>
          <w:p w14:paraId="169FD787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1C13A3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836 200</w:t>
            </w:r>
          </w:p>
        </w:tc>
      </w:tr>
      <w:tr w:rsidR="008A0564" w:rsidRPr="00A55A2A" w14:paraId="50483F18" w14:textId="77777777" w:rsidTr="008A0564">
        <w:trPr>
          <w:trHeight w:val="792"/>
        </w:trPr>
        <w:tc>
          <w:tcPr>
            <w:tcW w:w="440" w:type="dxa"/>
            <w:shd w:val="clear" w:color="auto" w:fill="auto"/>
            <w:noWrap/>
            <w:vAlign w:val="bottom"/>
          </w:tcPr>
          <w:p w14:paraId="2E3C0E8A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14:paraId="00247B09" w14:textId="7435A28F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1069E92" w14:textId="52361730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, тип "овальная", с двойными струнами, ширина раскрытия 10 мм, в сборе с несъемной ручкой, ОДНОКРАТНОГО ПРИМЕНЕНИЯ, в стерильной упаковке, диаметр 2,3 мм, для канала 2,8 мм, длина 230 см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05FE2A19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0" w:type="dxa"/>
            <w:vAlign w:val="center"/>
          </w:tcPr>
          <w:p w14:paraId="02A1B98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565B17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23 000</w:t>
            </w:r>
          </w:p>
          <w:p w14:paraId="38F130F0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EF3EC8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23 000</w:t>
            </w:r>
          </w:p>
        </w:tc>
      </w:tr>
      <w:tr w:rsidR="008A0564" w:rsidRPr="00A55A2A" w14:paraId="6FBD6D0D" w14:textId="77777777" w:rsidTr="008A0564">
        <w:trPr>
          <w:trHeight w:val="792"/>
        </w:trPr>
        <w:tc>
          <w:tcPr>
            <w:tcW w:w="440" w:type="dxa"/>
            <w:shd w:val="clear" w:color="auto" w:fill="auto"/>
            <w:noWrap/>
            <w:vAlign w:val="bottom"/>
          </w:tcPr>
          <w:p w14:paraId="7EA95DA6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7" w:type="dxa"/>
          </w:tcPr>
          <w:p w14:paraId="5614D956" w14:textId="48AA3C9D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27A92A7" w14:textId="1290BFA5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, тип "овальная", с двойными струнами, ширина раскрытия 25 мм, в сборе с несъемной ручкой, ОДНОКРАТНОГО ПРИМЕНЕНИЯ, в стерильной упаковке, диаметр 2,3 мм, для канала 2,8 мм, длина 230 см, 5 штук в упаковке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7358F97D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5шт/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10" w:type="dxa"/>
            <w:vAlign w:val="center"/>
          </w:tcPr>
          <w:p w14:paraId="37683509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C7613A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115 000</w:t>
            </w:r>
          </w:p>
          <w:p w14:paraId="02E9C870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BB2669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</w:tr>
      <w:tr w:rsidR="008A0564" w:rsidRPr="00A55A2A" w14:paraId="64364153" w14:textId="77777777" w:rsidTr="008A0564">
        <w:trPr>
          <w:trHeight w:val="792"/>
        </w:trPr>
        <w:tc>
          <w:tcPr>
            <w:tcW w:w="440" w:type="dxa"/>
            <w:shd w:val="clear" w:color="auto" w:fill="auto"/>
            <w:noWrap/>
            <w:vAlign w:val="bottom"/>
          </w:tcPr>
          <w:p w14:paraId="510D7393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14:paraId="25C29819" w14:textId="45E425D5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C179EF4" w14:textId="78E28984" w:rsidR="008A0564" w:rsidRPr="00A55A2A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Петля для </w:t>
            </w:r>
            <w:proofErr w:type="spellStart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полипэктомии</w:t>
            </w:r>
            <w:proofErr w:type="spellEnd"/>
            <w:r w:rsidRPr="00A55A2A">
              <w:rPr>
                <w:rFonts w:ascii="Times New Roman" w:hAnsi="Times New Roman"/>
                <w:color w:val="333333"/>
                <w:sz w:val="18"/>
                <w:szCs w:val="18"/>
              </w:rPr>
              <w:t>, тип "овальная", с двойными струнами, ширина раскрытия 35 мм, в сборе с несъемной ручкой, ОДНОКРАТНОГО ПРИМЕНЕНИЯ, в стерильной упаковке, диаметр 2,3 мм, для канала 2,8 мм, длина 230 см, 5 штук в упаковке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0139B43C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5шт/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10" w:type="dxa"/>
            <w:vAlign w:val="center"/>
          </w:tcPr>
          <w:p w14:paraId="1DC4211D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371BAC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115 000</w:t>
            </w:r>
          </w:p>
          <w:p w14:paraId="452D5510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251226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</w:tr>
      <w:tr w:rsidR="008A0564" w:rsidRPr="00A55A2A" w14:paraId="5AFCE783" w14:textId="77777777" w:rsidTr="008A0564">
        <w:trPr>
          <w:trHeight w:val="247"/>
        </w:trPr>
        <w:tc>
          <w:tcPr>
            <w:tcW w:w="440" w:type="dxa"/>
            <w:shd w:val="clear" w:color="auto" w:fill="auto"/>
            <w:noWrap/>
            <w:vAlign w:val="bottom"/>
          </w:tcPr>
          <w:p w14:paraId="1075015F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ACF2D31" w14:textId="77777777" w:rsidR="008A0564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3C2426B" w14:textId="3E699398" w:rsidR="008A0564" w:rsidRPr="00E41B4D" w:rsidRDefault="008A0564" w:rsidP="008471C8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val="kk-KZ"/>
              </w:rPr>
            </w:pPr>
            <w:r w:rsidRPr="00E41B4D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Итого</w:t>
            </w:r>
            <w:r w:rsidR="00E41B4D">
              <w:rPr>
                <w:rFonts w:ascii="Times New Roman" w:hAnsi="Times New Roman"/>
                <w:b/>
                <w:color w:val="333333"/>
                <w:sz w:val="18"/>
                <w:szCs w:val="18"/>
                <w:lang w:val="kk-KZ"/>
              </w:rPr>
              <w:t>:</w:t>
            </w:r>
            <w:bookmarkStart w:id="0" w:name="_GoBack"/>
            <w:bookmarkEnd w:id="0"/>
          </w:p>
        </w:tc>
        <w:tc>
          <w:tcPr>
            <w:tcW w:w="807" w:type="dxa"/>
            <w:shd w:val="clear" w:color="auto" w:fill="auto"/>
            <w:vAlign w:val="bottom"/>
          </w:tcPr>
          <w:p w14:paraId="7E7B09D0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5134760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017E5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C19EFB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A">
              <w:rPr>
                <w:rFonts w:ascii="Times New Roman" w:hAnsi="Times New Roman"/>
                <w:b/>
                <w:sz w:val="18"/>
                <w:szCs w:val="18"/>
              </w:rPr>
              <w:t>4 203 450</w:t>
            </w:r>
          </w:p>
        </w:tc>
      </w:tr>
    </w:tbl>
    <w:p w14:paraId="7F214B41" w14:textId="641A25A6" w:rsidR="005A3C70" w:rsidRPr="002D1A47" w:rsidRDefault="005A3C70" w:rsidP="00B21F0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B21F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течении 5 (пяти) рабочих дней, по заявке Заказчика.</w:t>
      </w:r>
    </w:p>
    <w:p w14:paraId="2315BC69" w14:textId="77AD1929" w:rsidR="001A67FC" w:rsidRPr="007401E2" w:rsidRDefault="00AE06B9" w:rsidP="00B21F07">
      <w:pPr>
        <w:tabs>
          <w:tab w:val="left" w:pos="271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proofErr w:type="spellStart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</w:t>
      </w:r>
      <w:proofErr w:type="spellEnd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3AEA-AF5C-44DE-95B9-6305CD68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2022-12-13T07:05:00Z</dcterms:created>
  <dcterms:modified xsi:type="dcterms:W3CDTF">2022-12-13T07:05:00Z</dcterms:modified>
</cp:coreProperties>
</file>