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0442E043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415B8F">
        <w:rPr>
          <w:rFonts w:ascii="Times New Roman" w:hAnsi="Times New Roman" w:cs="Times New Roman"/>
          <w:b/>
        </w:rPr>
        <w:t>14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36A6CB8B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</w:rPr>
        <w:t>14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415B8F">
        <w:rPr>
          <w:rFonts w:ascii="Times New Roman" w:eastAsia="Times New Roman" w:hAnsi="Times New Roman" w:cs="Times New Roman"/>
        </w:rPr>
        <w:t xml:space="preserve"> 21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750D2FCB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</w:rPr>
        <w:t>21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2B16A453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415B8F">
        <w:rPr>
          <w:rFonts w:ascii="Times New Roman" w:hAnsi="Times New Roman" w:cs="Times New Roman"/>
          <w:b/>
        </w:rPr>
        <w:t>14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33DD4607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  <w:lang w:val="kk-KZ"/>
        </w:rPr>
        <w:t>14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</w:rPr>
        <w:t>21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4B438CFA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</w:rPr>
        <w:t>21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415B8F">
        <w:trPr>
          <w:trHeight w:val="300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35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765041" w:rsidRPr="00105141" w14:paraId="11D8447F" w14:textId="77777777" w:rsidTr="00415B8F">
        <w:trPr>
          <w:trHeight w:val="5646"/>
        </w:trPr>
        <w:tc>
          <w:tcPr>
            <w:tcW w:w="392" w:type="dxa"/>
            <w:shd w:val="clear" w:color="auto" w:fill="auto"/>
            <w:noWrap/>
            <w:vAlign w:val="bottom"/>
          </w:tcPr>
          <w:p w14:paraId="6DFEF631" w14:textId="4D1BF98C" w:rsidR="00765041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Align w:val="bottom"/>
          </w:tcPr>
          <w:p w14:paraId="2AFE77F2" w14:textId="77777777" w:rsidR="002504DF" w:rsidRPr="00415B8F" w:rsidRDefault="002504D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(мешок типа Амбу) для ручного искусственного дыхания (ИВЛ)</w:t>
            </w:r>
            <w:proofErr w:type="gramStart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клапаном давления, для взрослых, объем 1.5 л. С  наличием монолитной ручки для оказания реанимационных манипуляции одной рукой и наличием встроенного предохранительного клапана сброса.  Маска размер 5</w:t>
            </w:r>
          </w:p>
          <w:p w14:paraId="6937A6A4" w14:textId="77777777" w:rsidR="00765041" w:rsidRPr="00415B8F" w:rsidRDefault="00765041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700D0B3" w14:textId="737643BD" w:rsidR="00765041" w:rsidRPr="00415B8F" w:rsidRDefault="002504D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Реанимационный дыхательный мешок (устройство для ручного искусственного  дыхания) для взрослых (вес более 50 кг), Дыхательный мешок с монолитной ручкой для удержания и проведения вентиляции одной рукой и наличием встроенного предохранительного клапана, объём 1,5 л, с дыхательным объёмом 1500 мл (при сжатии двумя руками) и  800 мл (при сжатии одной рукой), с реверсивным клапаном, с резервным кислородным мешком и кислородным </w:t>
            </w:r>
            <w:proofErr w:type="spellStart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продольноармированным</w:t>
            </w:r>
            <w:proofErr w:type="spellEnd"/>
            <w:proofErr w:type="gramEnd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шлангом длиной 3 м, с эластичным стандартным соединительным коннектором и коннектором  резьбовым  </w:t>
            </w:r>
            <w:proofErr w:type="spellStart"/>
            <w:proofErr w:type="gramStart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</w:t>
            </w:r>
            <w:proofErr w:type="spellEnd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Sure</w:t>
            </w:r>
            <w:proofErr w:type="spellEnd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Lock</w:t>
            </w:r>
            <w:proofErr w:type="spellEnd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для подачи кислорода высокой концентрации (при темпе 12 </w:t>
            </w:r>
            <w:proofErr w:type="spellStart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bpm</w:t>
            </w:r>
            <w:proofErr w:type="spellEnd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потока 5 л/мин-50%, 10 л/мин-83%, 15 л/мин-90%), подсоединяемый через штуцер, сопротивление на вдохе/выдохе &lt;3,0см Н2О/&lt;3,0см Н2О, мертвое пространство 18 мл, с угловым шарнирным коннектором со встроенным  клапаном вдоха под маску/ </w:t>
            </w:r>
            <w:proofErr w:type="spellStart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интубационную</w:t>
            </w:r>
            <w:proofErr w:type="spellEnd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трубку 22M/15F, маска прозрачная лицевая с клапаном наддува и кольцом </w:t>
            </w:r>
            <w:proofErr w:type="spellStart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маскодержателя</w:t>
            </w:r>
            <w:proofErr w:type="spellEnd"/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размер 5.Материалы: полиэтилен, полипропилен, эластомер. Упаковка индивидуальная, клинически чистая. Срок годности  5 лет от даты изготовления.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5324D1" w14:textId="10447E4C" w:rsidR="00765041" w:rsidRPr="00415B8F" w:rsidRDefault="002504D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31B82BD6" w14:textId="2EADDCF0" w:rsidR="00765041" w:rsidRPr="00415B8F" w:rsidRDefault="002504DF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5B8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767648" w14:textId="5F01A6EC" w:rsidR="00765041" w:rsidRPr="00415B8F" w:rsidRDefault="002504DF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276" w:type="dxa"/>
            <w:vAlign w:val="center"/>
          </w:tcPr>
          <w:p w14:paraId="38A44AD9" w14:textId="2D83BD6A" w:rsidR="00765041" w:rsidRPr="00415B8F" w:rsidRDefault="002504DF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  <w:r w:rsidR="00415B8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118F7" w:rsidRPr="00415B8F" w14:paraId="429652B5" w14:textId="77777777" w:rsidTr="00415B8F">
        <w:trPr>
          <w:trHeight w:val="531"/>
        </w:trPr>
        <w:tc>
          <w:tcPr>
            <w:tcW w:w="392" w:type="dxa"/>
            <w:shd w:val="clear" w:color="auto" w:fill="auto"/>
            <w:noWrap/>
            <w:vAlign w:val="bottom"/>
          </w:tcPr>
          <w:p w14:paraId="0DC67E85" w14:textId="754AA2F9" w:rsidR="006118F7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Align w:val="bottom"/>
          </w:tcPr>
          <w:p w14:paraId="12F06E77" w14:textId="675ACEE8" w:rsidR="006118F7" w:rsidRPr="00415B8F" w:rsidRDefault="006118F7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Аминоплазмаль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CCA7CE9" w14:textId="21C08D73" w:rsidR="006118F7" w:rsidRPr="00415B8F" w:rsidRDefault="006118F7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инфузий, 10 %, 500 мл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F26BA87" w14:textId="72FF2F38" w:rsidR="006118F7" w:rsidRPr="00415B8F" w:rsidRDefault="006118F7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vAlign w:val="center"/>
          </w:tcPr>
          <w:p w14:paraId="3BCEBC9D" w14:textId="42C36B42" w:rsidR="006118F7" w:rsidRPr="00415B8F" w:rsidRDefault="006118F7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5269859" w14:textId="5DF69CD0" w:rsidR="006118F7" w:rsidRPr="00415B8F" w:rsidRDefault="006118F7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2 429,52</w:t>
            </w:r>
          </w:p>
        </w:tc>
        <w:tc>
          <w:tcPr>
            <w:tcW w:w="1276" w:type="dxa"/>
            <w:vAlign w:val="center"/>
          </w:tcPr>
          <w:p w14:paraId="34AF427C" w14:textId="58EACF99" w:rsidR="006118F7" w:rsidRPr="00415B8F" w:rsidRDefault="006118F7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121 476,00</w:t>
            </w:r>
          </w:p>
        </w:tc>
      </w:tr>
      <w:tr w:rsidR="006856F7" w:rsidRPr="00415B8F" w14:paraId="0708D7C6" w14:textId="77777777" w:rsidTr="00415B8F">
        <w:trPr>
          <w:trHeight w:val="531"/>
        </w:trPr>
        <w:tc>
          <w:tcPr>
            <w:tcW w:w="392" w:type="dxa"/>
            <w:shd w:val="clear" w:color="auto" w:fill="auto"/>
            <w:noWrap/>
            <w:vAlign w:val="bottom"/>
          </w:tcPr>
          <w:p w14:paraId="736E3C1B" w14:textId="0010CEB8" w:rsidR="006856F7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5" w:type="dxa"/>
            <w:vAlign w:val="bottom"/>
          </w:tcPr>
          <w:p w14:paraId="6704DA1B" w14:textId="6357D03A" w:rsidR="006856F7" w:rsidRPr="00415B8F" w:rsidRDefault="006856F7" w:rsidP="0080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40303937" w14:textId="1B11AF2F" w:rsidR="006856F7" w:rsidRPr="00415B8F" w:rsidRDefault="006856F7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  1мг/мл, 1мл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0FD30B" w14:textId="516BAD89" w:rsidR="006856F7" w:rsidRPr="00415B8F" w:rsidRDefault="006856F7" w:rsidP="0080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Амп.</w:t>
            </w:r>
          </w:p>
        </w:tc>
        <w:tc>
          <w:tcPr>
            <w:tcW w:w="851" w:type="dxa"/>
            <w:vAlign w:val="center"/>
          </w:tcPr>
          <w:p w14:paraId="1B1FFB3B" w14:textId="4690BC13" w:rsidR="006856F7" w:rsidRPr="00415B8F" w:rsidRDefault="006856F7" w:rsidP="0080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4F5BCAF" w14:textId="398BF454" w:rsidR="006856F7" w:rsidRPr="00415B8F" w:rsidRDefault="006856F7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1276" w:type="dxa"/>
            <w:vAlign w:val="center"/>
          </w:tcPr>
          <w:p w14:paraId="52544C88" w14:textId="492902AC" w:rsidR="006856F7" w:rsidRPr="00415B8F" w:rsidRDefault="006856F7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72 250,00</w:t>
            </w:r>
          </w:p>
        </w:tc>
      </w:tr>
      <w:tr w:rsidR="006856F7" w:rsidRPr="00415B8F" w14:paraId="0340B37B" w14:textId="77777777" w:rsidTr="00415B8F">
        <w:trPr>
          <w:trHeight w:val="531"/>
        </w:trPr>
        <w:tc>
          <w:tcPr>
            <w:tcW w:w="392" w:type="dxa"/>
            <w:shd w:val="clear" w:color="auto" w:fill="auto"/>
            <w:noWrap/>
            <w:vAlign w:val="bottom"/>
          </w:tcPr>
          <w:p w14:paraId="70A893B4" w14:textId="1AA2A4C0" w:rsidR="006856F7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5" w:type="dxa"/>
            <w:vAlign w:val="bottom"/>
          </w:tcPr>
          <w:p w14:paraId="0E374DB7" w14:textId="0DEC3D91" w:rsidR="006856F7" w:rsidRPr="00415B8F" w:rsidRDefault="006856F7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sz w:val="20"/>
                <w:szCs w:val="20"/>
              </w:rPr>
              <w:t>Бупивакаин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AAD198D" w14:textId="3B029C2C" w:rsidR="006856F7" w:rsidRPr="00415B8F" w:rsidRDefault="006856F7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инъекций, 5мг/мл, 10 мл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DBA3FA4" w14:textId="6920E8BD" w:rsidR="006856F7" w:rsidRPr="00415B8F" w:rsidRDefault="006856F7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Амп.</w:t>
            </w:r>
          </w:p>
        </w:tc>
        <w:tc>
          <w:tcPr>
            <w:tcW w:w="851" w:type="dxa"/>
            <w:vAlign w:val="center"/>
          </w:tcPr>
          <w:p w14:paraId="4D285583" w14:textId="79FBBC2B" w:rsidR="006856F7" w:rsidRPr="00415B8F" w:rsidRDefault="006856F7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F6561C0" w14:textId="496EA4F2" w:rsidR="006856F7" w:rsidRPr="00415B8F" w:rsidRDefault="006856F7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365,27</w:t>
            </w:r>
          </w:p>
        </w:tc>
        <w:tc>
          <w:tcPr>
            <w:tcW w:w="1276" w:type="dxa"/>
            <w:vAlign w:val="center"/>
          </w:tcPr>
          <w:p w14:paraId="0F63D074" w14:textId="34BAC456" w:rsidR="006856F7" w:rsidRPr="00415B8F" w:rsidRDefault="006856F7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365 270,00</w:t>
            </w:r>
          </w:p>
        </w:tc>
      </w:tr>
      <w:tr w:rsidR="00415B8F" w:rsidRPr="00415B8F" w14:paraId="2A21C578" w14:textId="77777777" w:rsidTr="00415B8F">
        <w:trPr>
          <w:trHeight w:val="531"/>
        </w:trPr>
        <w:tc>
          <w:tcPr>
            <w:tcW w:w="392" w:type="dxa"/>
            <w:shd w:val="clear" w:color="auto" w:fill="auto"/>
            <w:noWrap/>
            <w:vAlign w:val="bottom"/>
          </w:tcPr>
          <w:p w14:paraId="4A7DF92E" w14:textId="5B5D6172" w:rsid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35" w:type="dxa"/>
            <w:vAlign w:val="bottom"/>
          </w:tcPr>
          <w:p w14:paraId="5DCD453B" w14:textId="7603E833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Тепловлагообменник</w:t>
            </w:r>
            <w:proofErr w:type="spellEnd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Hydro-Trach</w:t>
            </w:r>
            <w:proofErr w:type="spellEnd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 для использования с </w:t>
            </w:r>
            <w:proofErr w:type="spellStart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трахеостомической</w:t>
            </w:r>
            <w:proofErr w:type="spellEnd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трубкой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E5DB60" w14:textId="0EEFF0A1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Тепловлагообменник</w:t>
            </w:r>
            <w:proofErr w:type="spellEnd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Hydro-Trach</w:t>
            </w:r>
            <w:proofErr w:type="spellEnd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 для использования с </w:t>
            </w:r>
            <w:proofErr w:type="spellStart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трахеостомической</w:t>
            </w:r>
            <w:proofErr w:type="spellEnd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трубкой типа "искусственный нос", с герметичной крышкой - портом для санации трахеи и бронхоскопии, с кислородным шарнирным штуцером (угол поворота 120 град), соединение 15М. Возврат влаги не менее 26мг /л, сопротивление потоку (30 л/мин) не более 0,2см Н₂О, объём не более 19мл, масса не более 8г.</w:t>
            </w: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Материал: полипропилен, полиэтилен, гигроскопичная пористая мембрана, без латекса.</w:t>
            </w: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Упаковка: индивидуальная, клинически чистая.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B1DBDC7" w14:textId="10C507E9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1F065536" w14:textId="5ED0DCE2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50FFAAE5" w14:textId="0DB6A7B1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276" w:type="dxa"/>
            <w:vAlign w:val="center"/>
          </w:tcPr>
          <w:p w14:paraId="7B4BE875" w14:textId="334BDFC2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121 500,00</w:t>
            </w:r>
          </w:p>
        </w:tc>
      </w:tr>
      <w:tr w:rsidR="00415B8F" w:rsidRPr="00415B8F" w14:paraId="5046CFD6" w14:textId="77777777" w:rsidTr="00415B8F">
        <w:trPr>
          <w:trHeight w:val="531"/>
        </w:trPr>
        <w:tc>
          <w:tcPr>
            <w:tcW w:w="392" w:type="dxa"/>
            <w:shd w:val="clear" w:color="auto" w:fill="auto"/>
            <w:noWrap/>
            <w:vAlign w:val="bottom"/>
          </w:tcPr>
          <w:p w14:paraId="3FE5FC60" w14:textId="655E4FE6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5" w:type="dxa"/>
            <w:vAlign w:val="bottom"/>
          </w:tcPr>
          <w:p w14:paraId="750FBFDF" w14:textId="06A68780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Пленка антимикробная разрезаемая хирургическая стерильная, размер 56 см х 8 </w:t>
            </w: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5см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40B569" w14:textId="3DA8EE7A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5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Антимикробная стерильная разрезаемая операционная пленка для долгосрочных операций с йодофором, оранжевого цвета, воздухопроницаемые, высокоадгезивные, размером 56смх85см.</w:t>
            </w:r>
            <w:proofErr w:type="gramEnd"/>
            <w:r w:rsidRPr="00415B8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 </w:t>
            </w:r>
            <w:proofErr w:type="gramStart"/>
            <w:r w:rsidRPr="00415B8F">
              <w:rPr>
                <w:rFonts w:ascii="Times New Roman" w:hAnsi="Times New Roman" w:cs="Times New Roman"/>
                <w:sz w:val="20"/>
                <w:szCs w:val="20"/>
              </w:rPr>
              <w:t>упакован</w:t>
            </w:r>
            <w:proofErr w:type="gramEnd"/>
            <w:r w:rsidRPr="00415B8F">
              <w:rPr>
                <w:rFonts w:ascii="Times New Roman" w:hAnsi="Times New Roman" w:cs="Times New Roman"/>
                <w:sz w:val="20"/>
                <w:szCs w:val="20"/>
              </w:rPr>
              <w:t xml:space="preserve"> в герметично закрытую вакуумную упаковку из фольги, максимально предельное значение </w:t>
            </w:r>
            <w:r w:rsidRPr="00415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вакуумного давления для упаковки составляет 15inHgA.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57C7075" w14:textId="05E24B89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71F32752" w14:textId="447174FA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838676F" w14:textId="4FA1708A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sz w:val="20"/>
                <w:szCs w:val="20"/>
              </w:rPr>
              <w:t>12 940,00</w:t>
            </w:r>
          </w:p>
        </w:tc>
        <w:tc>
          <w:tcPr>
            <w:tcW w:w="1276" w:type="dxa"/>
            <w:vAlign w:val="center"/>
          </w:tcPr>
          <w:p w14:paraId="46E4BD81" w14:textId="7F67302D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</w:tr>
      <w:tr w:rsidR="00415B8F" w:rsidRPr="00415B8F" w14:paraId="1948CDED" w14:textId="77777777" w:rsidTr="00415B8F">
        <w:trPr>
          <w:trHeight w:val="531"/>
        </w:trPr>
        <w:tc>
          <w:tcPr>
            <w:tcW w:w="392" w:type="dxa"/>
            <w:shd w:val="clear" w:color="auto" w:fill="auto"/>
            <w:noWrap/>
            <w:vAlign w:val="bottom"/>
          </w:tcPr>
          <w:p w14:paraId="074AA4F7" w14:textId="0677BA19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35" w:type="dxa"/>
            <w:vAlign w:val="bottom"/>
          </w:tcPr>
          <w:p w14:paraId="55A75984" w14:textId="42C9A616" w:rsidR="00415B8F" w:rsidRPr="00415B8F" w:rsidRDefault="00020FFE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Презерватив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14:paraId="1022093A" w14:textId="205F7A7D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натурального латекса, не </w:t>
            </w:r>
            <w:proofErr w:type="gramStart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ароматизированный</w:t>
            </w:r>
            <w:proofErr w:type="gramEnd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гладкий, прозрачный, цилиндрической формы без накопителя. Длина: 210 мм Толщина</w:t>
            </w:r>
            <w:proofErr w:type="gramStart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0,080-0,095 мм. Ширина: 28 мм. Вид упаковки: герметичный пакетик из фольги (индивидуальная).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4C8BB9C" w14:textId="4ABA14C9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14:paraId="23D1F25E" w14:textId="1154EF58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84BB772" w14:textId="026EAD4F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1BC96C34" w14:textId="6AFB54DD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5B8F" w:rsidRPr="00415B8F" w14:paraId="17263E04" w14:textId="77777777" w:rsidTr="00415B8F">
        <w:trPr>
          <w:trHeight w:val="531"/>
        </w:trPr>
        <w:tc>
          <w:tcPr>
            <w:tcW w:w="392" w:type="dxa"/>
            <w:shd w:val="clear" w:color="auto" w:fill="auto"/>
            <w:noWrap/>
            <w:vAlign w:val="bottom"/>
          </w:tcPr>
          <w:p w14:paraId="328A8D7A" w14:textId="3125E776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vAlign w:val="bottom"/>
          </w:tcPr>
          <w:p w14:paraId="08625A90" w14:textId="663035C8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Салфетка для дезинфекции кожи перед инъекцией.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39069A" w14:textId="330F1DB2" w:rsidR="00415B8F" w:rsidRPr="00415B8F" w:rsidRDefault="00415B8F" w:rsidP="00415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Спиртовая салфетка размером 65*56 мм пропитанная 70% этиловым спиртом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6BF15F0" w14:textId="68D3696A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14:paraId="4BB989C7" w14:textId="6773F83D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7E77F38" w14:textId="16486B26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7085EB5" w14:textId="4D1158AD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</w:tr>
      <w:tr w:rsidR="00415B8F" w:rsidRPr="00415B8F" w14:paraId="7CA7687C" w14:textId="77777777" w:rsidTr="007852D6">
        <w:trPr>
          <w:trHeight w:val="531"/>
        </w:trPr>
        <w:tc>
          <w:tcPr>
            <w:tcW w:w="392" w:type="dxa"/>
            <w:shd w:val="clear" w:color="auto" w:fill="auto"/>
            <w:noWrap/>
            <w:vAlign w:val="center"/>
          </w:tcPr>
          <w:p w14:paraId="33CEEE8D" w14:textId="1E22DAD7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35" w:type="dxa"/>
            <w:vAlign w:val="center"/>
          </w:tcPr>
          <w:p w14:paraId="24A25C89" w14:textId="0CF2EBDF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Стандартные эритроциты </w:t>
            </w:r>
            <w:proofErr w:type="spellStart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Across</w:t>
            </w:r>
            <w:proofErr w:type="spellEnd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 xml:space="preserve"> для скрининга антител (4) (4x10 мл)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C4A7EC" w14:textId="7B7F703B" w:rsidR="00415B8F" w:rsidRPr="00415B8F" w:rsidRDefault="00415B8F" w:rsidP="0041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Стандартные эритроциты для скрининга антител - 4-х клеточная панель. Набор из четырех флаконов. Каждый флакон  должен содержать не менее 10 мл человеческих </w:t>
            </w:r>
            <w:proofErr w:type="spellStart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эриктроцитов</w:t>
            </w:r>
            <w:proofErr w:type="spellEnd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 xml:space="preserve"> группы 0 в виде 0,8% суспензии, в буферном растворе и с консервантами. (Эритроциты во флаконах в наборе отличаются по составу антигенов и отобраны с целью детектирования наиболе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клинически значимых антител.)</w:t>
            </w:r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Реактив производится из материала одн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донора для каждого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флакона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теклянные</w:t>
            </w:r>
            <w:proofErr w:type="spellEnd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 xml:space="preserve"> флаконы с кры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шками со встроенными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пипетками.</w:t>
            </w:r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Используемый</w:t>
            </w:r>
            <w:proofErr w:type="spellEnd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 xml:space="preserve"> в составе буферный раствор должен быть совместим с </w:t>
            </w:r>
            <w:proofErr w:type="spellStart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гелевыи</w:t>
            </w:r>
            <w:proofErr w:type="spellEnd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 xml:space="preserve"> картами </w:t>
            </w:r>
            <w:proofErr w:type="spellStart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Across</w:t>
            </w:r>
            <w:proofErr w:type="spellEnd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  <w:proofErr w:type="spellEnd"/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. не менее 4x10 мл (200 тестов) в упаковке</w:t>
            </w:r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A6ACC65" w14:textId="07AA416B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E30195A" w14:textId="1559AC26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64989A7" w14:textId="0E44B290" w:rsidR="00415B8F" w:rsidRPr="00415B8F" w:rsidRDefault="00415B8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39 644,25   </w:t>
            </w:r>
          </w:p>
        </w:tc>
        <w:tc>
          <w:tcPr>
            <w:tcW w:w="1276" w:type="dxa"/>
            <w:vAlign w:val="center"/>
          </w:tcPr>
          <w:p w14:paraId="7E32C473" w14:textId="0A0F3009" w:rsidR="00415B8F" w:rsidRPr="00415B8F" w:rsidRDefault="00415B8F" w:rsidP="00415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475 731,00   </w:t>
            </w:r>
          </w:p>
        </w:tc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34EE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4BC1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5847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76849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4B63-F59B-4E88-8A96-0EDC6292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2023-04-14T04:29:00Z</dcterms:created>
  <dcterms:modified xsi:type="dcterms:W3CDTF">2023-04-14T04:29:00Z</dcterms:modified>
</cp:coreProperties>
</file>