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69" w:rsidRPr="009225A4" w:rsidRDefault="00121369" w:rsidP="009225A4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</w:t>
      </w:r>
      <w:r w:rsidR="009225A4">
        <w:t xml:space="preserve">                               </w:t>
      </w:r>
      <w:r>
        <w:t xml:space="preserve">                 </w:t>
      </w:r>
      <w:r w:rsidR="004621F4">
        <w:t>1</w:t>
      </w:r>
      <w:r w:rsidR="004653D2">
        <w:t>1</w:t>
      </w:r>
      <w:r>
        <w:t>.01.2024 г.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</w:t>
      </w:r>
      <w:proofErr w:type="gramStart"/>
      <w:r>
        <w:rPr>
          <w:rFonts w:ascii="Times New Roman" w:eastAsia="Times New Roman" w:hAnsi="Times New Roman" w:cs="Times New Roman"/>
        </w:rPr>
        <w:t>қ-</w:t>
      </w:r>
      <w:proofErr w:type="gramEnd"/>
      <w:r>
        <w:rPr>
          <w:rFonts w:ascii="Times New Roman" w:eastAsia="Times New Roman" w:hAnsi="Times New Roman" w:cs="Times New Roman"/>
        </w:rPr>
        <w:t>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</w:t>
      </w:r>
      <w:r w:rsidR="004653D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беру-</w:t>
      </w:r>
      <w:proofErr w:type="spellStart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621F4">
        <w:rPr>
          <w:rFonts w:ascii="Times New Roman" w:eastAsia="Times New Roman" w:hAnsi="Times New Roman" w:cs="Times New Roman"/>
        </w:rPr>
        <w:t>1</w:t>
      </w:r>
      <w:r w:rsidR="004653D2">
        <w:rPr>
          <w:rFonts w:ascii="Times New Roman" w:eastAsia="Times New Roman" w:hAnsi="Times New Roman" w:cs="Times New Roman"/>
        </w:rPr>
        <w:t>1</w:t>
      </w:r>
      <w:r w:rsidR="00C7598C"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7598C">
        <w:rPr>
          <w:rFonts w:ascii="Times New Roman" w:eastAsia="Times New Roman" w:hAnsi="Times New Roman" w:cs="Times New Roman"/>
        </w:rPr>
        <w:t>1</w:t>
      </w:r>
      <w:r w:rsidR="004653D2">
        <w:rPr>
          <w:rFonts w:ascii="Times New Roman" w:eastAsia="Times New Roman" w:hAnsi="Times New Roman" w:cs="Times New Roman"/>
        </w:rPr>
        <w:t>8</w:t>
      </w:r>
      <w:r w:rsidR="00C7598C"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7598C">
        <w:rPr>
          <w:rFonts w:ascii="Times New Roman" w:eastAsia="Times New Roman" w:hAnsi="Times New Roman" w:cs="Times New Roman"/>
        </w:rPr>
        <w:t>1</w:t>
      </w:r>
      <w:r w:rsidR="004653D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 w:rsidR="00C7598C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.202</w:t>
      </w:r>
      <w:r w:rsidR="00C7598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21369" w:rsidRDefault="00121369" w:rsidP="00121369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121369" w:rsidRDefault="00121369" w:rsidP="00121369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121369" w:rsidRDefault="00121369" w:rsidP="00121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</w:t>
      </w:r>
      <w:r w:rsidR="004621F4">
        <w:rPr>
          <w:rFonts w:ascii="Times New Roman" w:hAnsi="Times New Roman" w:cs="Times New Roman"/>
          <w:b/>
        </w:rPr>
        <w:t>1</w:t>
      </w:r>
      <w:r w:rsidR="004653D2">
        <w:rPr>
          <w:rFonts w:ascii="Times New Roman" w:hAnsi="Times New Roman" w:cs="Times New Roman"/>
          <w:b/>
        </w:rPr>
        <w:t>1</w:t>
      </w:r>
      <w:r w:rsidR="00C7598C">
        <w:rPr>
          <w:rFonts w:ascii="Times New Roman" w:hAnsi="Times New Roman" w:cs="Times New Roman"/>
          <w:b/>
        </w:rPr>
        <w:t>.01.2024</w:t>
      </w:r>
      <w:r>
        <w:rPr>
          <w:rFonts w:ascii="Times New Roman" w:hAnsi="Times New Roman" w:cs="Times New Roman"/>
          <w:b/>
        </w:rPr>
        <w:t xml:space="preserve"> г.</w:t>
      </w:r>
    </w:p>
    <w:p w:rsidR="00121369" w:rsidRDefault="00121369" w:rsidP="001213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369" w:rsidRDefault="00121369" w:rsidP="00121369">
      <w:pPr>
        <w:pStyle w:val="a4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>Организатор закупок ГКП на ПХВ «Центральная городская клиническая больница» Управления здравоохранения города Алматы. объявляет о проведении закупа лекарственных средств и медицинских изделий на 2023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>
        <w:rPr>
          <w:rFonts w:ascii="Times New Roman" w:hAnsi="Times New Roman"/>
          <w:lang w:val="kk-KZ"/>
        </w:rPr>
        <w:t xml:space="preserve"> «</w:t>
      </w:r>
      <w:r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>
        <w:rPr>
          <w:rFonts w:ascii="Times New Roman" w:hAnsi="Times New Roman"/>
          <w:szCs w:val="24"/>
        </w:rPr>
        <w:t>(далее - Правила)</w:t>
      </w:r>
      <w:r>
        <w:rPr>
          <w:rFonts w:ascii="Times New Roman" w:hAnsi="Times New Roman"/>
        </w:rPr>
        <w:t>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 </w:t>
      </w:r>
      <w:r w:rsidR="004621F4">
        <w:rPr>
          <w:rFonts w:ascii="Times New Roman" w:eastAsia="Times New Roman" w:hAnsi="Times New Roman" w:cs="Times New Roman"/>
        </w:rPr>
        <w:t>1</w:t>
      </w:r>
      <w:r w:rsidR="004653D2">
        <w:rPr>
          <w:rFonts w:ascii="Times New Roman" w:eastAsia="Times New Roman" w:hAnsi="Times New Roman" w:cs="Times New Roman"/>
        </w:rPr>
        <w:t>1</w:t>
      </w:r>
      <w:r w:rsidR="00C7598C"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г. до 09 ч. 00 мин </w:t>
      </w:r>
      <w:r w:rsidR="00C7598C">
        <w:rPr>
          <w:rFonts w:ascii="Times New Roman" w:eastAsia="Times New Roman" w:hAnsi="Times New Roman" w:cs="Times New Roman"/>
        </w:rPr>
        <w:t>1</w:t>
      </w:r>
      <w:r w:rsidR="004653D2">
        <w:rPr>
          <w:rFonts w:ascii="Times New Roman" w:eastAsia="Times New Roman" w:hAnsi="Times New Roman" w:cs="Times New Roman"/>
        </w:rPr>
        <w:t>8</w:t>
      </w:r>
      <w:r w:rsidR="00C7598C"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4621F4">
        <w:rPr>
          <w:rFonts w:ascii="Times New Roman" w:eastAsia="Times New Roman" w:hAnsi="Times New Roman" w:cs="Times New Roman"/>
        </w:rPr>
        <w:t>1</w:t>
      </w:r>
      <w:r w:rsidR="004653D2">
        <w:rPr>
          <w:rFonts w:ascii="Times New Roman" w:eastAsia="Times New Roman" w:hAnsi="Times New Roman" w:cs="Times New Roman"/>
        </w:rPr>
        <w:t>8</w:t>
      </w:r>
      <w:r w:rsidR="00C7598C"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121369" w:rsidRDefault="00121369" w:rsidP="00121369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121369" w:rsidRDefault="00121369" w:rsidP="00121369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121369" w:rsidRDefault="00121369" w:rsidP="00121369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3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992"/>
        <w:gridCol w:w="1134"/>
        <w:gridCol w:w="1116"/>
        <w:gridCol w:w="2693"/>
      </w:tblGrid>
      <w:tr w:rsidR="0045361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614" w:rsidRPr="00453614" w:rsidRDefault="0045361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CC7704" w:rsidRPr="00453614" w:rsidTr="00CC770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Pr="00453614" w:rsidRDefault="00CC77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Гемакон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Pr="00453614" w:rsidRDefault="00CC77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Мешок для крови сдвоенный 450/450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Pr="00453614" w:rsidRDefault="00CC77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Pr="00453614" w:rsidRDefault="00CC77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7704" w:rsidRPr="00453614" w:rsidRDefault="00CC77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396 000,00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Дигоксин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 для инъекций 0,25 мг/мл, 1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24 400,00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Кальция глюконат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в/м введения 100 мг/мл, 5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100 965,00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глазные, 5 мг/мл, 5 мл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2 684,59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805 377,00</w:t>
            </w:r>
          </w:p>
        </w:tc>
      </w:tr>
      <w:tr w:rsidR="00CC7704" w:rsidRPr="00453614" w:rsidTr="00CC7704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Оксибупрокаин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 0,4%  5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1 268,87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634 435,00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 w:rsidP="00BE69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комбинированный для парентерального питания. Эмульсия для инфузий, 1250 мл, парентеральная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11 672,85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2 334 570,00</w:t>
            </w:r>
          </w:p>
        </w:tc>
      </w:tr>
      <w:tr w:rsidR="00CC7704" w:rsidRPr="00453614" w:rsidTr="00CC7704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Периндоприл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5 мг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169 890,00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 2%, 5 мл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1 440 000,00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Пиперациллина натрий + тазобактама натрий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 4,5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2 294,56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3 441 840,00</w:t>
            </w:r>
          </w:p>
        </w:tc>
      </w:tr>
      <w:tr w:rsidR="00CC7704" w:rsidRPr="00453614" w:rsidTr="00CC7704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  глазные 10 мг/мл 10 мл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</w:tr>
      <w:tr w:rsidR="00CC7704" w:rsidRPr="00453614" w:rsidTr="00CC7704">
        <w:trPr>
          <w:trHeight w:val="5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Энтеральное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Готовое к употреблению полноценное лечебное питание. Для энтерального питания детей старше 1 года и взрослых  при различных заболеваниях, включая критические состояния, термические поражения, онкологические заболевания, заболевания органов желудочно-кишечного тракта,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муковисцидоз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, паллиативные состояния, в качестве основного или дополнительного питания,  когда обычный прием пищи невозможен, ограничен или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недостаточен.Энергетическая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ценность 100 ккал (419 Дж); Белок 4,0 г (казеин 80% и сывороточный 20%); Жир 3,4 г из них - насыщенные жирные кислоты 1,9 г, -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среднецепочечные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триглицериды 1,6 г, - мононенасыщенные жирные кислоты 0,7 г, - полиненасыщенные жирные кислоты 0,8 г; Углеводы 12,6 г, - сахароза 0,2 г, Пищевые волокна 1,5 г. Соотношение БЖУ – 16:31:53. Отношение ЖК ω-6/ω-3 – 4,2.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Осмолярность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280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МОсм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/л.</w:t>
            </w:r>
            <w:r w:rsidRPr="0045361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Содержит в своем составе около 30 различных витаминов и микроэлементов ( калий, кальций, железо, йод, селен и др., а также витамины группы В, Д, Е, С, А, биотин). Не содержит искусственных красителей и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глютен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, лактозу – в клинически значимых количествах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 w:rsidP="004E1C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2 150 000,00</w:t>
            </w:r>
          </w:p>
        </w:tc>
      </w:tr>
      <w:tr w:rsidR="00CC7704" w:rsidRPr="00453614" w:rsidTr="00CC7704">
        <w:trPr>
          <w:trHeight w:val="2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Датчики комплекс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Сменный одноразовый датчик для измерения инвазивного давления с </w:t>
            </w:r>
            <w:r w:rsidRPr="00794CEE">
              <w:rPr>
                <w:rFonts w:ascii="Times New Roman" w:hAnsi="Times New Roman" w:cs="Times New Roman"/>
                <w:bCs/>
                <w:sz w:val="18"/>
                <w:szCs w:val="18"/>
              </w:rPr>
              <w:t>круглыми разъемами</w:t>
            </w: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 по 7 пинов, тип разъема </w:t>
            </w:r>
            <w:r w:rsidRPr="00794C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Содержат все необходимые комплектующие.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Датчики совместимы с мониторами пациента различных марок.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Датчики подключаются в монитор через имеющийся в аппарате (входящий в заводскую комплектацию) соединительный кабель ИАД с </w:t>
            </w:r>
            <w:r w:rsidRPr="00794C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 разъемом.  Не допускается замена данных кабелей какими-либо адаптерами или кабелями-переходниками сторонних производителей. Не допускаются датчики с 4-пиновым разъемом, «телефонным» разъемом, 5-пиновым разъемом.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Спецификации: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каналов - 1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Диапазон рабочего давления -50 </w:t>
            </w:r>
            <w:proofErr w:type="spellStart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 +300 </w:t>
            </w:r>
            <w:proofErr w:type="spellStart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mmHg</w:t>
            </w:r>
            <w:proofErr w:type="spellEnd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температуры 10 </w:t>
            </w:r>
            <w:proofErr w:type="spellStart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 40℃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Температуры хранения -25°to +70℃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Чувствительность 5.0μV/V/ммРтСт±1%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Нелинейность и гистерезис ±1.5% от значения / ±1ммРтСт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сопротивления 350 Ом±10%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сопротивления 300±5%Ohm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Нулевое отклонение ≤±20ммРтСт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Нулевая тепловая погрешность ≤±0.3ммРтСт/℃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Погрешность вывода ±1ммРтСт за 8 часов после 20 секундного разогрева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Погрешность </w:t>
            </w:r>
            <w:proofErr w:type="spellStart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термо</w:t>
            </w:r>
            <w:proofErr w:type="spellEnd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-чувствительности ≤±0.1%/℃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Обычная частота 40Гц /стандартный комплект; </w:t>
            </w:r>
            <w:r w:rsidRPr="00794CEE">
              <w:rPr>
                <w:rFonts w:ascii="Times New Roman" w:eastAsia="MS Gothic" w:hAnsi="Times New Roman" w:cs="Times New Roman"/>
                <w:sz w:val="18"/>
                <w:szCs w:val="18"/>
              </w:rPr>
              <w:t>＞</w:t>
            </w: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200Гц /только датчик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Признаки дефибриллятора выдерживает 5 кратный расход 360 джоулей в пределах 5 минут, доставленных в 50 Ом нагрузки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Ток</w:t>
            </w:r>
            <w:r w:rsidRPr="00794C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утечки</w:t>
            </w:r>
            <w:r w:rsidRPr="00794C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94CEE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＜</w:t>
            </w:r>
            <w:r w:rsidRPr="00794C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μ</w:t>
            </w:r>
            <w:r w:rsidRPr="00794C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amps at 120V RMS 60Hz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Избыточность давления от-400 до +6000 </w:t>
            </w:r>
            <w:proofErr w:type="spellStart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proofErr w:type="spellEnd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Ударопрочность</w:t>
            </w:r>
            <w:proofErr w:type="spellEnd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: может выдержать 3 падения с высоты 1 метра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Чувствительность к свету </w:t>
            </w:r>
            <w:r w:rsidRPr="00794CEE">
              <w:rPr>
                <w:rFonts w:ascii="Times New Roman" w:eastAsia="MS Gothic" w:hAnsi="Times New Roman" w:cs="Times New Roman"/>
                <w:sz w:val="18"/>
                <w:szCs w:val="18"/>
              </w:rPr>
              <w:t>＜</w:t>
            </w: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1mmHg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Срок службы 168 часов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Внутри набора для маркировки и условного обозначения расположения датчиков должны иметься наклейки с обозначениями: 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- ARTERIAL – артериальное (2шт.)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- CVP (</w:t>
            </w:r>
            <w:proofErr w:type="spellStart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centralvenouspressure</w:t>
            </w:r>
            <w:proofErr w:type="spellEnd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) - центральное венозное давление(2шт.)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PA (pulmonary artery) </w:t>
            </w:r>
            <w:proofErr w:type="spellStart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легочнаяартерия</w:t>
            </w:r>
            <w:proofErr w:type="spellEnd"/>
            <w:r w:rsidRPr="00794C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</w:t>
            </w:r>
            <w:proofErr w:type="spellStart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794C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.)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- LAP (</w:t>
            </w:r>
            <w:proofErr w:type="spellStart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leftatriumpressure</w:t>
            </w:r>
            <w:proofErr w:type="spellEnd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) – давление в левом предсердии(2шт.)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- дополнительные </w:t>
            </w:r>
            <w:proofErr w:type="spellStart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стикеты</w:t>
            </w:r>
            <w:proofErr w:type="spellEnd"/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, со свободным местом для самостоятельной маркировки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Длина полипропиленовой трубки – не менее 125 см.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Длина трубки для в\в вливания – не менее 155 см.</w:t>
            </w:r>
          </w:p>
          <w:p w:rsidR="00CC7704" w:rsidRPr="00794CEE" w:rsidRDefault="00CC7704" w:rsidP="00794C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>С целью удобства хранения и использования размер одного набора не должен превышать 30 х 20 х 10 см.</w:t>
            </w:r>
          </w:p>
          <w:p w:rsidR="00CC7704" w:rsidRPr="004E1CF0" w:rsidRDefault="00CC7704" w:rsidP="004E1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CEE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Комплект датчика:</w:t>
            </w:r>
            <w:r w:rsidRPr="00794CEE">
              <w:rPr>
                <w:rFonts w:ascii="Times New Roman" w:hAnsi="Times New Roman" w:cs="Times New Roman"/>
                <w:sz w:val="18"/>
                <w:szCs w:val="18"/>
              </w:rPr>
              <w:t xml:space="preserve"> 1. Датчик с промывкой, 2. Линия контроля давления, 3. Запорный кран, 4. Кар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пациента, 5. Крышки 6 шт.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9 430,00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1 414 500,0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before="120" w:after="16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45361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Игла спинальная с интродьюсером, размер 25G. C обтуратором, заточка формируется с использованием самых современных технологий. Гладкое острие иглы обеспечивает легкое введение в ткани.Превосходное совмещение стилета и заточки иглы предотвращает закупорку ее просвета. Заостренный наконечник предотвращает повреждение ткани. Кристально чистая канюля позволяет контролировать поток жидкости и помогает сохранить потери СМЖ  на минимальном уровне. Тонкая игла позволяет ускорить поток жидкости. Длина 90 мм. Внутренний диаметр иглы  0.28 мм с химической полировкой внутреннего канала, для обеспечения быстрого появления обратного тока ликвора во время пункции (скорость прохождения тестового раствора не менее 22 мм/с) и низкого сопротивления при введении местного анестетика. Игла-проводник 20G, наружный диаметр 0,9 мм, длина рабочей части 34 мм. Защитные пластиковые трубки, покрывающие металлические части иглы и интродьюсера, для безопасной утилизации. Стерильная упаковка, стерилизация этиленоксидом.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 w:rsidP="00161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</w:t>
            </w: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891 000,00</w:t>
            </w:r>
          </w:p>
        </w:tc>
      </w:tr>
      <w:tr w:rsidR="00CC7704" w:rsidRPr="00453614" w:rsidTr="00CC7704">
        <w:trPr>
          <w:trHeight w:val="3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Назальная канюля для длительной и кратковременной подачи кислорода. Канюля назальная для взрослых с удлинительным шлангом длиной не менее 1,8м, длина всей системы не менее 2,1м,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атравматичные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термопластичные прямые,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продольноармированный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 Материал: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имплантационно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-нетоксичный поливинилхлорид. Упаковка: индивидуальная, клинически чистая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Default="00CC77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1 393 200,00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Катетер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2-х однократного применения </w:t>
            </w: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Размеры по заявке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1 855 000,00</w:t>
            </w:r>
          </w:p>
        </w:tc>
      </w:tr>
      <w:tr w:rsidR="00CC7704" w:rsidRPr="00453614" w:rsidTr="00CC7704">
        <w:trPr>
          <w:trHeight w:val="3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центральный венозный   полиуретановый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рентгеноконтрастный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инъекционными колпачками, размером: 4.5Fr; длиной: 8см; в комплекте с принадлежностями для установки. Наименование комплектующих: </w:t>
            </w: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1. Катетер центральный венозный  полиуретановый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рентгеноконтрастный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инъекционными колпачками, размером: 4.5Fr (20Ga /23Ga/23Ga) диаметр 1.5 мм; длиной: 8 см;  2. Проводник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нитиноловый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толкателем 3. Скальпель 11'' 4. Сосудистый дилататор - 2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5. Y-образная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интродьюсерная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игла  6. Шприц 5 мл 7. Зажим - 2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8. Запорный кран 9. Шовный материал с хирургической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полуизогнутой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иглой 10. Салфетка хирургическая 11.Салфетка марлевая - 5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Техническая характеристика: Катетер (3- просветный) изготовлен из гибкого полиуретана с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рентгеноконтрастной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полосой для легкой визуализации. Мягкий,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атравматичный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конический наконечник снижает вероятность травмы сосуда во время введения и обеспечивает легкое и плавное введение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катетера</w:t>
            </w: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есовместимые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препараты могут вводиться одновременно через отдельные просветы. Размещается в яремную или подключичную вену. Скорость потока: проксимальная - 05-15 мл/мин, дистальная - 20-40 мл/мин. медиальная - 05-14 мл/мин Проводник (прямой; J-образный):</w:t>
            </w: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0.016” x 50см. 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Интродьюсерная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игла: 20G длиной 65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2 850 000,00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Двухпросветный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Центральный Венозный Диализный  Катетер c мягким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кончиком, зажимами линий соединения,  колпачки, удлинительные линии загнутые  изгибаемые либо прямые  Материал катетера - 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полиуретан.  Длина - 16, 20 см; Диаметр -  14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Состав набора: катетер, проводник 0,035 дюйм Х 60, 68 см с прямым и j-образным кончиком. Колпачки. Игла 18Gaх6,35см;  шприц 5 мл; </w:t>
            </w: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Тканевой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расширитель шаговый. C антибактериальным покрытием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хлоргексидина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сульфадиазина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серебра. Размер  катетера по заявке Заказчика.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4 050 000,00</w:t>
            </w:r>
          </w:p>
        </w:tc>
      </w:tr>
      <w:tr w:rsidR="00CC7704" w:rsidRPr="00453614" w:rsidTr="00CC7704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Универсальный стерильный одноразовый 100 мл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28 800,00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1 584 000,00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Лейкопластырь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на нетканой основе в катушках, размером  2,5см х10м, для однократного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1 005 550,00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Магистраль проводящая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Линия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проводящая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инфузионная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инфузионной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терапии 150 см.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690 000,00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Маска кислородная взрослая для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кислородотерапии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средней концентрации (для потока 5л/мин-35%, 6л/мин-40%, 8л/мин-50%). Корпус маски выполнен по анатомической схеме с уникальной изогнутой в виде гребня конструкцией носовой части, обеспечивающий минимальное «мёртвое пространство» и одновременно конструкция этой части маски придаёт требуемое расположение встроенной манжеты в области носа пациента. Гребневидная носовая часть маски в случае возможной утечки </w:t>
            </w:r>
            <w:proofErr w:type="gram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манжеты исключает попадание струи кислорода в глаза пациента.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Атравматичная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манжета анатомического рельефа плоская профилированная, расширяющаяся под подбородок для прилегающего охвата подбородка при наложении на лицо пациента. Подбородочная часть манжеты выполнена по двухступенчатой схеме - «под подбородок» и «на подбородок», обеспечивающей герметизацию при прилегании к лицам пациентов различной анатомии. Манжета в носовой части имеет поперечное внутренне армирование, которое обеспечивает плотное, но не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травматичное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прилегание в наиболее сложной части лица по анатомическому строению.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Эластомерный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держатель проводится как «под ушами» - не травмируется верхняя часть уха, так и «над ушами» в зависимости от анатомических особенностей головы пациента, с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смесеобразующими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отверстиями симметричными продольно профилированными лицевыми и подбородочными. Маска с кислородной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продольноармированной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трубкой длиной не менее 2,0 м. Требуемый состав технологических материалов</w:t>
            </w:r>
            <w:proofErr w:type="gram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:: </w:t>
            </w:r>
            <w:proofErr w:type="gram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полипропилен, полиэтилен. Без ПВХ. Экологически чистая при производстве и утилизации. Упаковка: </w:t>
            </w:r>
            <w:r w:rsidRPr="004536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индивидуальная, клинически чистая.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4 560 000,00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Мочеприемник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Прикроватный  с крестообразным сливом, стерильный, одноразового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2 809 170,00</w:t>
            </w:r>
          </w:p>
        </w:tc>
      </w:tr>
      <w:tr w:rsidR="00CC770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Натронная известь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Абсорбент углекислого газа, содержащий гидроксид щелочного металла,  для поглощения углекислого газа в закрытом реверсивном контуре дыхательном.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цветоиндикация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: белый-фиолетовый. Состав: гидроокись кальция – 93,5%, гидроокись натрия – 1,5%, цеолит – 5%, индикатор – 0,03%,  относительная влажность не менее 15,9%. Упаковка: клинически чистая.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1 250 000,00</w:t>
            </w:r>
          </w:p>
        </w:tc>
      </w:tr>
      <w:tr w:rsidR="00CC7704" w:rsidRPr="00453614" w:rsidTr="00CC7704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Планшеты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 для определения группы крови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1 600 000,00</w:t>
            </w:r>
          </w:p>
        </w:tc>
      </w:tr>
      <w:tr w:rsidR="00CC7704" w:rsidRPr="00453614" w:rsidTr="00CC7704">
        <w:trPr>
          <w:trHeight w:val="1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Пленка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Антимикробная стерильная разрезаемая операционная пленка для долгосрочных операций с йодофором, оранжевого цвета, воздухопроницаемые, высокоадгезивные, размером 56смх85см. Индивидуально упакован в герметично закрытую вакуумную упаковку из фольги, максимально предельное значение вакуумного давления для упаковки составляет 15inHgA.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14 481,00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2 172 150,00</w:t>
            </w:r>
          </w:p>
        </w:tc>
      </w:tr>
      <w:tr w:rsidR="00CC7704" w:rsidRPr="00453614" w:rsidTr="00CC7704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Презерватив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натурального латекса, не ароматизированный, гладкий, </w:t>
            </w: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 не ароматизированной смазкой, размер (длина 180 мм, ширина 52 мм).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274 000,00</w:t>
            </w:r>
          </w:p>
        </w:tc>
      </w:tr>
      <w:tr w:rsidR="00CC7704" w:rsidRPr="00453614" w:rsidTr="00CC7704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Простыня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Нестерильная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одноразовая 200*80 в рулоне 100 простыней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</w:tr>
      <w:tr w:rsidR="00CC7704" w:rsidRPr="00453614" w:rsidTr="00CC770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Default="00CC77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Протез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8F2FD0" w:rsidRDefault="00CC7704" w:rsidP="008F2F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F2FD0">
              <w:rPr>
                <w:rFonts w:ascii="Times New Roman" w:hAnsi="Times New Roman" w:cs="Times New Roman"/>
                <w:sz w:val="18"/>
                <w:szCs w:val="18"/>
              </w:rPr>
              <w:t xml:space="preserve">Бифуркационный сосудистый протез. Материал – Дакрон (полиэстер). Вязаная структура протеза - </w:t>
            </w:r>
            <w:proofErr w:type="spellStart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двухгребёночное</w:t>
            </w:r>
            <w:proofErr w:type="spellEnd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 xml:space="preserve"> основовязаное переплетении.</w:t>
            </w:r>
          </w:p>
          <w:p w:rsidR="00CC7704" w:rsidRPr="008F2FD0" w:rsidRDefault="00CC7704" w:rsidP="008F2F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F2FD0">
              <w:rPr>
                <w:rFonts w:ascii="Times New Roman" w:hAnsi="Times New Roman" w:cs="Times New Roman"/>
                <w:sz w:val="18"/>
                <w:szCs w:val="18"/>
              </w:rPr>
              <w:t xml:space="preserve">Прочность материала - устойчивый к долговременной нагрузке на растяжение. Биологическая инертность. </w:t>
            </w:r>
          </w:p>
          <w:p w:rsidR="00CC7704" w:rsidRPr="008F2FD0" w:rsidRDefault="00CC7704" w:rsidP="008F2F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F2FD0">
              <w:rPr>
                <w:rFonts w:ascii="Times New Roman" w:hAnsi="Times New Roman" w:cs="Times New Roman"/>
                <w:sz w:val="18"/>
                <w:szCs w:val="18"/>
              </w:rPr>
              <w:t xml:space="preserve">Легкость моделирования, отсутствие </w:t>
            </w:r>
            <w:proofErr w:type="spellStart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разволокнения</w:t>
            </w:r>
            <w:proofErr w:type="spellEnd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2F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стенки при рассечении.</w:t>
            </w:r>
          </w:p>
          <w:p w:rsidR="00CC7704" w:rsidRPr="008F2FD0" w:rsidRDefault="00CC7704" w:rsidP="008F2F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Сопротивление при проколе стенки - не более 2.31 Ньютон.</w:t>
            </w:r>
          </w:p>
          <w:p w:rsidR="00CC7704" w:rsidRPr="008F2FD0" w:rsidRDefault="00CC7704" w:rsidP="008F2F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Гемодинамически</w:t>
            </w:r>
            <w:proofErr w:type="spellEnd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 xml:space="preserve"> корректная конфигурация в зоне бифуркации, обеспечение плавного кровотока и ламинарный поток от протеза к сосуду.</w:t>
            </w:r>
          </w:p>
          <w:p w:rsidR="00CC7704" w:rsidRPr="008F2FD0" w:rsidRDefault="00CC7704" w:rsidP="008F2F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Тромборезистентность</w:t>
            </w:r>
            <w:proofErr w:type="spellEnd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7704" w:rsidRPr="008F2FD0" w:rsidRDefault="00CC7704" w:rsidP="008F2F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F2FD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глютаральдегида</w:t>
            </w:r>
            <w:proofErr w:type="spellEnd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карбодиимида</w:t>
            </w:r>
            <w:proofErr w:type="spellEnd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. Отсутствие кровотечения из проколов протеза.</w:t>
            </w:r>
          </w:p>
          <w:p w:rsidR="00CC7704" w:rsidRPr="008F2FD0" w:rsidRDefault="00CC7704" w:rsidP="008F2F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Совместимость с различным шовным материалом.</w:t>
            </w:r>
          </w:p>
          <w:p w:rsidR="00CC7704" w:rsidRPr="008F2FD0" w:rsidRDefault="00CC7704" w:rsidP="008F2F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F2FD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Внутренний диаметр основной части (мм) x диаметр </w:t>
            </w:r>
            <w:proofErr w:type="spellStart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браншей</w:t>
            </w:r>
            <w:proofErr w:type="spellEnd"/>
            <w:r w:rsidRPr="008F2FD0">
              <w:rPr>
                <w:rFonts w:ascii="Times New Roman" w:hAnsi="Times New Roman" w:cs="Times New Roman"/>
                <w:sz w:val="18"/>
                <w:szCs w:val="18"/>
              </w:rPr>
              <w:t xml:space="preserve"> (мм): 12х6х6, 14x7х7, 16x8х8; 18x9х9; 20x10х10; длина (см): 50. Размеры по заявке заказчика.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401 200,00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704" w:rsidRPr="00453614" w:rsidRDefault="00CC7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4 012 000,00</w:t>
            </w:r>
          </w:p>
        </w:tc>
      </w:tr>
      <w:tr w:rsidR="00AB5F5E" w:rsidRPr="00453614" w:rsidTr="00CC7704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F5E" w:rsidRPr="00AB5F5E" w:rsidRDefault="00CC77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Салфетка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8F2FD0" w:rsidRDefault="00AB5F5E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2FD0">
              <w:rPr>
                <w:rFonts w:ascii="Times New Roman" w:hAnsi="Times New Roman" w:cs="Times New Roman"/>
                <w:sz w:val="18"/>
                <w:szCs w:val="18"/>
              </w:rPr>
              <w:t>Салфетка из нетканого материала, пропитанная 70% этиловым спиртом, размером 65*56 мм, однократного применения для обработки кожи до и после инъекции.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F5E" w:rsidRPr="00453614" w:rsidRDefault="00AB5F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5 500 000,00</w:t>
            </w:r>
          </w:p>
        </w:tc>
      </w:tr>
      <w:tr w:rsidR="00AB5F5E" w:rsidRPr="00453614" w:rsidTr="00CC7704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F5E" w:rsidRPr="00AB5F5E" w:rsidRDefault="00CC77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Световод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8F2FD0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Одноразовый для в\</w:t>
            </w:r>
            <w:proofErr w:type="gramStart"/>
            <w:r w:rsidRPr="008F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8F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облучения крови</w:t>
            </w:r>
            <w:r w:rsidR="00C37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AB5F5E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F5E" w:rsidRPr="00AB5F5E" w:rsidRDefault="00CC77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8F2FD0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Для  </w:t>
            </w:r>
            <w:proofErr w:type="spellStart"/>
            <w:r w:rsidRPr="008F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8F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стерильная</w:t>
            </w:r>
            <w:proofErr w:type="gramEnd"/>
            <w:r w:rsidRPr="008F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однократного применения  21G</w:t>
            </w:r>
            <w:r w:rsidR="00C37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AB5F5E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1 008 200,00</w:t>
            </w:r>
          </w:p>
        </w:tc>
      </w:tr>
      <w:tr w:rsidR="00AB5F5E" w:rsidRPr="00453614" w:rsidTr="00CC7704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F5E" w:rsidRPr="00AB5F5E" w:rsidRDefault="00CC77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8F2FD0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Стерильный, одноразовый, размер под заказ</w:t>
            </w:r>
            <w:r w:rsidR="00C37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AB5F5E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1 600 000,00</w:t>
            </w:r>
          </w:p>
        </w:tc>
      </w:tr>
      <w:tr w:rsidR="00AB5F5E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F5E" w:rsidRPr="004653D2" w:rsidRDefault="00CC77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653D2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Соединитель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653D2" w:rsidRDefault="00AB5F5E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>интубационной</w:t>
            </w:r>
            <w:proofErr w:type="spellEnd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 трубкой и др. с возможностью санации. Соединитель растягивающийся конфигурируемый угловой </w:t>
            </w:r>
            <w:proofErr w:type="spellStart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>Superset</w:t>
            </w:r>
            <w:proofErr w:type="spellEnd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 22F-22М/15F, с двойным шарниром, с герметичным портом с колпачком «FLIP TOP» 7,6мм, мм. С противоскользящим рифлением на внешней поверхности соединителя 22F. Длина 7,0-15,0 см. Материал: полиэтилен, полипропилен. Упаковка: индивидуальная, клинически чистая</w:t>
            </w:r>
            <w:r w:rsidRPr="00465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4653D2">
              <w:rPr>
                <w:rFonts w:ascii="Times New Roman" w:hAnsi="Times New Roman" w:cs="Times New Roman"/>
                <w:bCs/>
                <w:sz w:val="18"/>
                <w:szCs w:val="18"/>
              </w:rPr>
              <w:t>75 шт</w:t>
            </w:r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. Срок годности (срок гарантии): 5 лет от даты изготовления. Каждая упаковка снабжена одним </w:t>
            </w:r>
            <w:r w:rsidRPr="004653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воздуховодом надгортанным I-</w:t>
            </w:r>
            <w:proofErr w:type="spellStart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>gel</w:t>
            </w:r>
            <w:proofErr w:type="spellEnd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Прозрачный воздуховод I-</w:t>
            </w:r>
            <w:proofErr w:type="spellStart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>gel</w:t>
            </w:r>
            <w:proofErr w:type="spellEnd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, вводимый в ротоглотку с мягкой </w:t>
            </w:r>
            <w:proofErr w:type="spellStart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>нераздуваемой</w:t>
            </w:r>
            <w:proofErr w:type="spellEnd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 манжетой из термопластичного </w:t>
            </w:r>
            <w:proofErr w:type="spellStart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>гелеподобного</w:t>
            </w:r>
            <w:proofErr w:type="spellEnd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желудочным каналом с проксимальным портом, размер 4 (для пациентов с массой тела 50-90 кг, для проведения </w:t>
            </w:r>
            <w:proofErr w:type="spellStart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>эндотрахеальной</w:t>
            </w:r>
            <w:proofErr w:type="spellEnd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 трубки 7,0мм, для </w:t>
            </w:r>
            <w:proofErr w:type="spellStart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>назогастрального</w:t>
            </w:r>
            <w:proofErr w:type="spellEnd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 зонда 12Fr). Утечка отсутствует (при давлении в контуре до 40 см Н2О). Вес 58,6 гр.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653D2" w:rsidRDefault="00AA7D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E103C1"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F5E" w:rsidRPr="004653D2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149 500,00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653D2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F5E" w:rsidRPr="004653D2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1 495 000,00</w:t>
            </w:r>
          </w:p>
        </w:tc>
      </w:tr>
      <w:tr w:rsidR="00AB5F5E" w:rsidRPr="00453614" w:rsidTr="00CC7704">
        <w:trPr>
          <w:trHeight w:val="2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F5E" w:rsidRPr="004653D2" w:rsidRDefault="00CC77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653D2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Тепловлагообменник</w:t>
            </w:r>
            <w:proofErr w:type="spellEnd"/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653D2" w:rsidRDefault="00AB5F5E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>Тепловлагообменник</w:t>
            </w:r>
            <w:proofErr w:type="spellEnd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>Hydro-Trach</w:t>
            </w:r>
            <w:proofErr w:type="spellEnd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 T для использования с </w:t>
            </w:r>
            <w:proofErr w:type="spellStart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>трахеостомической</w:t>
            </w:r>
            <w:proofErr w:type="spellEnd"/>
            <w:r w:rsidRPr="004653D2">
              <w:rPr>
                <w:rFonts w:ascii="Times New Roman" w:hAnsi="Times New Roman" w:cs="Times New Roman"/>
                <w:sz w:val="18"/>
                <w:szCs w:val="18"/>
              </w:rPr>
              <w:t xml:space="preserve"> трубкой типа "искусственный нос", с герметичной крышкой - портом для санации трахеи и бронхоскопии, с кислородным шарнирным штуцером (угол поворота 120 град), соединение 15М. Возврат влаги не менее 26мг /л, сопротивление потоку (30 л/мин) не более 0,2см Н₂О, объём не более 19мл, масса не более 8г.</w:t>
            </w:r>
            <w:r w:rsidRPr="004653D2">
              <w:rPr>
                <w:rFonts w:ascii="Times New Roman" w:hAnsi="Times New Roman" w:cs="Times New Roman"/>
                <w:sz w:val="18"/>
                <w:szCs w:val="18"/>
              </w:rPr>
              <w:br/>
              <w:t>Материал: полипропилен, полиэтилен, гигроскопичная пористая мембрана, без латекса.</w:t>
            </w:r>
            <w:r w:rsidRPr="004653D2">
              <w:rPr>
                <w:rFonts w:ascii="Times New Roman" w:hAnsi="Times New Roman" w:cs="Times New Roman"/>
                <w:sz w:val="18"/>
                <w:szCs w:val="18"/>
              </w:rPr>
              <w:br/>
              <w:t>Упаковка: индивидуальная, клинически чистая.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653D2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AB5F5E"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F5E" w:rsidRPr="004653D2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653D2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F5E" w:rsidRPr="004653D2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810 000,00</w:t>
            </w:r>
          </w:p>
        </w:tc>
      </w:tr>
      <w:tr w:rsidR="00AB5F5E" w:rsidRPr="00453614" w:rsidTr="00CC7704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F5E" w:rsidRPr="00AB5F5E" w:rsidRDefault="00CC77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ТСМ: 6/9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Трубки силиконовые медицинские одноканальные предназначены для изготовления дренажей в общей хирургии, изделий для переливания крови, кровезаменителей,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инфузионных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растворов, ликвора и др., для комплектации насосных и других медицинских устройств.</w:t>
            </w: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Силиконовая трубка выдерживает давление до 2 атм. В условиях отрицательного давления, чтобы трубки не слипались, увеличивают толщину стенки и твердость материала. Температурный диапазон использования: от -</w:t>
            </w: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60° до +200°С (кратковременно до +300°С), выдерживают любые методы температурной стерилизации.</w:t>
            </w: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Силиконовая трубка по ТУ 9398-004-18037666-94. Твердость по Шор А,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ед. 60 (для дренажа). Напряжение при удлинении на 50%, Мпа (кгс/см2) 0,5(5)-3,5(35). Предел прочности при разрыве, Мпа (кгс/см2) 7(70)-10(100)</w:t>
            </w: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Относительное удлинение при разрыве, % 250-500 (и более).Сопротивление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раздиру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Н/м (кг/см) 15-25 . Наружный диаметр: 9мм. Внутренний диаметр: 6мм. Толщина стенки: от 1,5мм</w:t>
            </w: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ГОСТ ISO 10993-1-2011, ГОСТ ISO 10993-4-2011, ГОСТ ISO 10993-5-2011, ГОСТ ISO 10993-6-2011, ГОСТ ISO 10993-10-2011, ГОСТ ISO 10993-11-2011, ГОСТ Р 52770-2016, ГОСТ Р 50444-92</w:t>
            </w:r>
          </w:p>
          <w:p w:rsidR="00AB5F5E" w:rsidRPr="00453614" w:rsidRDefault="00AB5F5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ISO 10993-1-2011, ГОСТ ISO 10993-4-2011, ГОСТ ISO 10993-5-2011, ГОСТ ISO 10993-6-2011, ГОСТ ISO 10993-10-2011, ГОСТ ISO 10993-11-2011, ГОСТ </w:t>
            </w: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52770-2016, ГОСТ Р 50444-92</w:t>
            </w:r>
            <w:r w:rsidR="00C37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</w:t>
            </w:r>
            <w:r w:rsidR="00AB5F5E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3 010 000,00</w:t>
            </w:r>
          </w:p>
        </w:tc>
      </w:tr>
      <w:tr w:rsidR="00AB5F5E" w:rsidRPr="00453614" w:rsidTr="00CC7704">
        <w:trPr>
          <w:trHeight w:val="2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F5E" w:rsidRPr="00AB5F5E" w:rsidRDefault="00CC77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ЗТДСУ №24 (зонд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Шалькова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 для использования в хирургических отделениях клиник и больниц</w:t>
            </w: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.. 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Зонд силиконовый для декомпрессии желудочно-кишечного тракта по ТУ 9398-012-18037666-96. </w:t>
            </w: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Изготовлен из силиконовой резины и легко проводится по изгибам тонкой кишки.. Длина 3000 мм с наконечником в виде оливы, позволяющей использовать зонд без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направителя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..Имеет 25 отверстий, расположенные по спирали.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Первое отверстие – на расстоянии 60 мм. от наконечника, следующие – через 60 мм. ГОСТ ISO 10993-1-2011, ГОСТ ISO 10993-4-2011, ГОСТ ISO 10993-5-2011, ГОСТ ISO 10993-6-2011, ГОСТ ISO 10993-10-2011, ГОСТ ISO 10993-11-2011, ГОСТ </w:t>
            </w: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52770-2016, ГОСТ Р 50444-92</w:t>
            </w:r>
            <w:r w:rsidR="001875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AB5F5E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2 300 000,00</w:t>
            </w:r>
          </w:p>
        </w:tc>
      </w:tr>
      <w:tr w:rsidR="00AB5F5E" w:rsidRPr="00453614" w:rsidTr="00CC770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F5E" w:rsidRPr="00AB5F5E" w:rsidRDefault="00CC77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0865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ДРЕНАЖ КЕРА.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Предназначены для дренирования желчных путей.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Трубки силиконовые для дренирования желчных путей, Т-образные по ТУ 9398-002-18037666-93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Трубки Т-образные представляют из себя две соединенные трубки под углом 90 . ГОСТ ISO 10993-1-2011, ГОСТ ISO 10993-4-2011, ГОСТ ISO 10993-5- 2011, ГОСТ ISO 10993-6-2011, ГОСТ ISO 10993-10-2011, ГОСТ ISO 10993-11-2011, ГОСТ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52770-2016, ГОСТ Р 50444-92</w:t>
            </w:r>
            <w:r w:rsidR="00C37A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</w:t>
            </w:r>
            <w:r w:rsidR="00AB5F5E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585 000,00</w:t>
            </w:r>
          </w:p>
        </w:tc>
      </w:tr>
      <w:tr w:rsidR="00AB5F5E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F5E" w:rsidRPr="00AB5F5E" w:rsidRDefault="00CC7704" w:rsidP="00CC77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8C7C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Одноразовый, стерильный, 5 гр.</w:t>
            </w:r>
            <w:r w:rsidR="00AB5F5E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3-х компонентный 22 Gx1 </w:t>
            </w:r>
            <w:r w:rsidR="00C37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AB5F5E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F5E" w:rsidRPr="00453614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4 692 000,00</w:t>
            </w:r>
          </w:p>
        </w:tc>
      </w:tr>
      <w:tr w:rsidR="0045361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614" w:rsidRPr="00453614" w:rsidRDefault="00CC7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8C7C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Одноразовый, стерильный, 10 гр.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3-х компонентный  21Gx1 </w:t>
            </w:r>
            <w:r w:rsidR="00C37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24,71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6 177 500,00</w:t>
            </w:r>
          </w:p>
        </w:tc>
      </w:tr>
      <w:tr w:rsidR="0045361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614" w:rsidRPr="00453614" w:rsidRDefault="00CC7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8C7C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Одноразовый, стерильный, 20 гр.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3-х компонентный 20 Gx1 </w:t>
            </w:r>
            <w:r w:rsidR="00C37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3 351 700,00</w:t>
            </w:r>
          </w:p>
        </w:tc>
      </w:tr>
      <w:tr w:rsidR="0045361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614" w:rsidRPr="00453614" w:rsidRDefault="00CC7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8C7C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Одноразовый, стерильный, 2 гр.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3-х компонентный 20 Gx1 1/3</w:t>
            </w:r>
            <w:r w:rsidR="00C37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633 600,00</w:t>
            </w:r>
          </w:p>
        </w:tc>
      </w:tr>
      <w:tr w:rsidR="0045361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614" w:rsidRPr="00453614" w:rsidRDefault="00CC7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Одноразовый, стерильный, 50 гр</w:t>
            </w:r>
            <w:r w:rsidR="008C7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357 840,00</w:t>
            </w:r>
          </w:p>
        </w:tc>
      </w:tr>
      <w:tr w:rsidR="00453614" w:rsidRPr="00453614" w:rsidTr="00CC7704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614" w:rsidRPr="00453614" w:rsidRDefault="00CC7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Жанэ, одноразовый, 150 гр</w:t>
            </w:r>
            <w:r w:rsidR="008C7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740 000,00</w:t>
            </w:r>
          </w:p>
        </w:tc>
      </w:tr>
      <w:tr w:rsidR="00453614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614" w:rsidRPr="00FF7F33" w:rsidRDefault="00CC7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Эритротест-Циликлон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Антитела диагностические моноклональные для определения резус-принодлежности АНТИ-</w:t>
            </w: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супер 10 мл №10</w:t>
            </w:r>
            <w:r w:rsidR="00C37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614" w:rsidRPr="00453614" w:rsidRDefault="00DE7AA4" w:rsidP="00DE7A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23 200,00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3614" w:rsidRPr="00453614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928 000,00</w:t>
            </w:r>
          </w:p>
        </w:tc>
      </w:tr>
      <w:tr w:rsidR="00BF16BA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6BA" w:rsidRDefault="00BF16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A" w:rsidRPr="00BE2AD6" w:rsidRDefault="00347E7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Идарубицин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A" w:rsidRPr="00347E77" w:rsidRDefault="00347E7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7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Раствор для инъекций, 5 мг, 1 мг/мл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A" w:rsidRPr="00453614" w:rsidRDefault="00347E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6BA" w:rsidRDefault="00347E77" w:rsidP="00DE7A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48790,77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A" w:rsidRPr="00453614" w:rsidRDefault="00347E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16BA" w:rsidRPr="00453614" w:rsidRDefault="00347E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1219770,00</w:t>
            </w:r>
          </w:p>
        </w:tc>
      </w:tr>
      <w:tr w:rsidR="00494326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326" w:rsidRDefault="004943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Default="0049432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стерильная для биопсии и аспирации костного мозга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Pr="00494326" w:rsidRDefault="00494326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стерильная для биопсии и аспирации костного мозга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терильная для однократного применения размеры: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</w:t>
            </w:r>
            <w:r w:rsidRPr="00494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15*28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мм(10-44мм)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Default="00494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326" w:rsidRDefault="00494326" w:rsidP="00DE7A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Default="00494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326" w:rsidRDefault="00494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425000,00</w:t>
            </w:r>
          </w:p>
        </w:tc>
      </w:tr>
      <w:tr w:rsidR="00494326" w:rsidRPr="00453614" w:rsidTr="00CC770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326" w:rsidRDefault="004943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Default="0049432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стерильная для биопсии и аспирации костного мозга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Pr="00347E77" w:rsidRDefault="00494326" w:rsidP="00494326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стерильная для биопсии и аспирации костного мозга</w:t>
            </w:r>
            <w:r w:rsidR="00EB3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стерильная для однократного применения размеры:</w:t>
            </w:r>
            <w:r w:rsidRPr="00494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</w:t>
            </w:r>
            <w:r w:rsidRPr="00494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15*28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мм(25-60мм)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Default="00BC4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326" w:rsidRDefault="00BC424C" w:rsidP="00DE7A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Default="00BC4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326" w:rsidRPr="00B833E5" w:rsidRDefault="00BC4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425000,00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Адрес поставки: г. Алматы, ул. Жандосова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865E4"/>
    <w:rsid w:val="00121369"/>
    <w:rsid w:val="00136666"/>
    <w:rsid w:val="00145D30"/>
    <w:rsid w:val="00161B32"/>
    <w:rsid w:val="00187592"/>
    <w:rsid w:val="001B18A7"/>
    <w:rsid w:val="0020432D"/>
    <w:rsid w:val="002118C3"/>
    <w:rsid w:val="002335C5"/>
    <w:rsid w:val="002547D9"/>
    <w:rsid w:val="0027271C"/>
    <w:rsid w:val="002857E9"/>
    <w:rsid w:val="002A0B09"/>
    <w:rsid w:val="002C390C"/>
    <w:rsid w:val="002C4940"/>
    <w:rsid w:val="00347E77"/>
    <w:rsid w:val="003501CA"/>
    <w:rsid w:val="003561D7"/>
    <w:rsid w:val="00361933"/>
    <w:rsid w:val="00395A07"/>
    <w:rsid w:val="00403FB9"/>
    <w:rsid w:val="00441BC6"/>
    <w:rsid w:val="00453614"/>
    <w:rsid w:val="004621F4"/>
    <w:rsid w:val="004653D2"/>
    <w:rsid w:val="00480F11"/>
    <w:rsid w:val="00494326"/>
    <w:rsid w:val="004A4BD7"/>
    <w:rsid w:val="004C679A"/>
    <w:rsid w:val="004E1CF0"/>
    <w:rsid w:val="004E5E09"/>
    <w:rsid w:val="00565543"/>
    <w:rsid w:val="00571ABC"/>
    <w:rsid w:val="005736A0"/>
    <w:rsid w:val="00577D59"/>
    <w:rsid w:val="005E22A0"/>
    <w:rsid w:val="006143D2"/>
    <w:rsid w:val="00616B94"/>
    <w:rsid w:val="00625222"/>
    <w:rsid w:val="00686B1F"/>
    <w:rsid w:val="006873E8"/>
    <w:rsid w:val="007120A2"/>
    <w:rsid w:val="00722708"/>
    <w:rsid w:val="007555D6"/>
    <w:rsid w:val="00794CEE"/>
    <w:rsid w:val="007A1C5A"/>
    <w:rsid w:val="007D0F43"/>
    <w:rsid w:val="007E3AFF"/>
    <w:rsid w:val="00855BE1"/>
    <w:rsid w:val="0086059D"/>
    <w:rsid w:val="00864B2A"/>
    <w:rsid w:val="00872E83"/>
    <w:rsid w:val="00873D42"/>
    <w:rsid w:val="00884729"/>
    <w:rsid w:val="008A0223"/>
    <w:rsid w:val="008C74BE"/>
    <w:rsid w:val="008C7CEB"/>
    <w:rsid w:val="008E3474"/>
    <w:rsid w:val="008E4C59"/>
    <w:rsid w:val="008F2FD0"/>
    <w:rsid w:val="009225A4"/>
    <w:rsid w:val="009A3E89"/>
    <w:rsid w:val="009C73BA"/>
    <w:rsid w:val="009E501F"/>
    <w:rsid w:val="009E6145"/>
    <w:rsid w:val="009F71AE"/>
    <w:rsid w:val="00A8001F"/>
    <w:rsid w:val="00A8028C"/>
    <w:rsid w:val="00AA7D70"/>
    <w:rsid w:val="00AB1DBF"/>
    <w:rsid w:val="00AB5F5E"/>
    <w:rsid w:val="00AD54FF"/>
    <w:rsid w:val="00AD6B5B"/>
    <w:rsid w:val="00AE2935"/>
    <w:rsid w:val="00AF0561"/>
    <w:rsid w:val="00B01D59"/>
    <w:rsid w:val="00B42390"/>
    <w:rsid w:val="00B833E5"/>
    <w:rsid w:val="00BB681D"/>
    <w:rsid w:val="00BC424C"/>
    <w:rsid w:val="00BE2AD6"/>
    <w:rsid w:val="00BE697A"/>
    <w:rsid w:val="00BF16BA"/>
    <w:rsid w:val="00BF592A"/>
    <w:rsid w:val="00C02DF9"/>
    <w:rsid w:val="00C2766C"/>
    <w:rsid w:val="00C37ADA"/>
    <w:rsid w:val="00C7598C"/>
    <w:rsid w:val="00CC46AB"/>
    <w:rsid w:val="00CC4D12"/>
    <w:rsid w:val="00CC7704"/>
    <w:rsid w:val="00CD00D6"/>
    <w:rsid w:val="00CD4685"/>
    <w:rsid w:val="00D22E18"/>
    <w:rsid w:val="00D35FDA"/>
    <w:rsid w:val="00DE7AA4"/>
    <w:rsid w:val="00DF7EEE"/>
    <w:rsid w:val="00E103C1"/>
    <w:rsid w:val="00E61E80"/>
    <w:rsid w:val="00E70DD1"/>
    <w:rsid w:val="00E73100"/>
    <w:rsid w:val="00E75EDB"/>
    <w:rsid w:val="00EA3C8A"/>
    <w:rsid w:val="00EB3A0A"/>
    <w:rsid w:val="00EE3D67"/>
    <w:rsid w:val="00EF414C"/>
    <w:rsid w:val="00F01ECB"/>
    <w:rsid w:val="00F92197"/>
    <w:rsid w:val="00FB63CC"/>
    <w:rsid w:val="00FC4666"/>
    <w:rsid w:val="00FD1A87"/>
    <w:rsid w:val="00FD2CC7"/>
    <w:rsid w:val="00FE23FA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aty-cgkb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cg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D341-43CC-40DE-9A75-64E2D556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dcterms:created xsi:type="dcterms:W3CDTF">2024-01-11T09:00:00Z</dcterms:created>
  <dcterms:modified xsi:type="dcterms:W3CDTF">2024-01-11T09:00:00Z</dcterms:modified>
</cp:coreProperties>
</file>